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bCs/>
          <w:sz w:val="24"/>
          <w:szCs w:val="36"/>
        </w:rPr>
      </w:pPr>
    </w:p>
    <w:p>
      <w:pPr>
        <w:pStyle w:val="15"/>
        <w:spacing w:line="360" w:lineRule="auto"/>
        <w:jc w:val="center"/>
        <w:rPr>
          <w:rFonts w:ascii="Times New Roman"/>
          <w:b/>
          <w:bCs/>
          <w:sz w:val="52"/>
          <w:szCs w:val="52"/>
        </w:rPr>
      </w:pPr>
      <w:r>
        <w:rPr>
          <w:rFonts w:ascii="Times New Roman"/>
          <w:b/>
          <w:bCs/>
          <w:sz w:val="52"/>
          <w:szCs w:val="52"/>
        </w:rPr>
        <w:t>云南省省级政府集中采购</w:t>
      </w:r>
    </w:p>
    <w:p>
      <w:pPr>
        <w:pStyle w:val="15"/>
        <w:spacing w:line="360" w:lineRule="auto"/>
        <w:jc w:val="center"/>
        <w:rPr>
          <w:rFonts w:ascii="Times New Roman"/>
          <w:b/>
          <w:bCs/>
          <w:sz w:val="48"/>
          <w:szCs w:val="48"/>
        </w:rPr>
      </w:pPr>
    </w:p>
    <w:p>
      <w:pPr>
        <w:pStyle w:val="15"/>
        <w:spacing w:line="360" w:lineRule="auto"/>
        <w:jc w:val="center"/>
        <w:rPr>
          <w:rFonts w:ascii="Times New Roman"/>
          <w:b/>
          <w:bCs/>
          <w:sz w:val="48"/>
          <w:szCs w:val="48"/>
        </w:rPr>
      </w:pPr>
    </w:p>
    <w:p>
      <w:pPr>
        <w:pStyle w:val="15"/>
        <w:spacing w:line="360" w:lineRule="auto"/>
        <w:jc w:val="center"/>
        <w:rPr>
          <w:rFonts w:ascii="Times New Roman"/>
          <w:b/>
          <w:bCs/>
          <w:sz w:val="72"/>
        </w:rPr>
      </w:pPr>
    </w:p>
    <w:p>
      <w:pPr>
        <w:pStyle w:val="15"/>
        <w:spacing w:line="360" w:lineRule="auto"/>
        <w:jc w:val="center"/>
        <w:rPr>
          <w:rFonts w:ascii="Times New Roman"/>
          <w:b/>
          <w:bCs/>
          <w:sz w:val="52"/>
          <w:szCs w:val="52"/>
        </w:rPr>
      </w:pPr>
      <w:r>
        <w:rPr>
          <w:rFonts w:ascii="Times New Roman"/>
          <w:b/>
          <w:bCs/>
          <w:sz w:val="52"/>
          <w:szCs w:val="52"/>
        </w:rPr>
        <w:t>茭菱校区物业管理服务采购（2021）</w:t>
      </w:r>
      <w:r>
        <w:rPr>
          <w:rFonts w:hint="eastAsia" w:ascii="Times New Roman"/>
          <w:b/>
          <w:bCs/>
          <w:sz w:val="52"/>
          <w:szCs w:val="52"/>
        </w:rPr>
        <w:t xml:space="preserve"> </w:t>
      </w:r>
    </w:p>
    <w:p>
      <w:pPr>
        <w:rPr>
          <w:b/>
          <w:bCs/>
          <w:sz w:val="72"/>
        </w:rPr>
      </w:pPr>
    </w:p>
    <w:p>
      <w:pPr>
        <w:rPr>
          <w:b/>
          <w:bCs/>
          <w:sz w:val="72"/>
        </w:rPr>
      </w:pPr>
    </w:p>
    <w:p/>
    <w:p>
      <w:pPr>
        <w:pStyle w:val="15"/>
        <w:spacing w:line="360" w:lineRule="auto"/>
        <w:jc w:val="center"/>
        <w:rPr>
          <w:rFonts w:ascii="Times New Roman"/>
          <w:b/>
          <w:bCs/>
          <w:sz w:val="84"/>
          <w:szCs w:val="84"/>
        </w:rPr>
      </w:pPr>
      <w:r>
        <w:rPr>
          <w:rFonts w:hint="eastAsia" w:ascii="Times New Roman"/>
          <w:b/>
          <w:bCs/>
          <w:sz w:val="84"/>
          <w:szCs w:val="84"/>
        </w:rPr>
        <w:t>竞争性磋商</w:t>
      </w:r>
      <w:r>
        <w:rPr>
          <w:rFonts w:ascii="Times New Roman"/>
          <w:b/>
          <w:bCs/>
          <w:sz w:val="84"/>
          <w:szCs w:val="84"/>
        </w:rPr>
        <w:t>文件</w:t>
      </w:r>
    </w:p>
    <w:p>
      <w:pPr>
        <w:pStyle w:val="15"/>
        <w:spacing w:line="360" w:lineRule="auto"/>
        <w:rPr>
          <w:rFonts w:ascii="Times New Roman"/>
        </w:rPr>
      </w:pPr>
    </w:p>
    <w:p/>
    <w:p>
      <w:pPr>
        <w:pStyle w:val="15"/>
        <w:spacing w:line="360" w:lineRule="auto"/>
        <w:jc w:val="center"/>
        <w:rPr>
          <w:rFonts w:hint="default" w:ascii="Times New Roman" w:eastAsia="宋体"/>
          <w:b/>
          <w:bCs/>
          <w:sz w:val="32"/>
          <w:szCs w:val="32"/>
          <w:lang w:val="en-US" w:eastAsia="zh-CN"/>
        </w:rPr>
      </w:pPr>
      <w:r>
        <w:rPr>
          <w:rFonts w:ascii="Times New Roman"/>
          <w:b/>
          <w:bCs/>
          <w:sz w:val="32"/>
          <w:szCs w:val="32"/>
        </w:rPr>
        <w:t>项目编号：</w:t>
      </w:r>
      <w:r>
        <w:rPr>
          <w:rFonts w:hint="eastAsia" w:ascii="Times New Roman"/>
          <w:b/>
          <w:bCs/>
          <w:sz w:val="32"/>
          <w:szCs w:val="32"/>
        </w:rPr>
        <w:t>YC2021360</w:t>
      </w:r>
      <w:r>
        <w:rPr>
          <w:rFonts w:hint="eastAsia" w:ascii="Times New Roman"/>
          <w:b/>
          <w:bCs/>
          <w:sz w:val="32"/>
          <w:szCs w:val="32"/>
          <w:lang w:val="en-US" w:eastAsia="zh-CN"/>
        </w:rPr>
        <w:t>140</w:t>
      </w:r>
    </w:p>
    <w:p>
      <w:pPr>
        <w:pStyle w:val="15"/>
        <w:spacing w:line="360" w:lineRule="auto"/>
        <w:rPr>
          <w:rFonts w:ascii="Times New Roman"/>
        </w:rPr>
      </w:pPr>
    </w:p>
    <w:p/>
    <w:p/>
    <w:p/>
    <w:p/>
    <w:p>
      <w:pPr>
        <w:pStyle w:val="15"/>
        <w:spacing w:line="360" w:lineRule="auto"/>
        <w:rPr>
          <w:rFonts w:ascii="Times New Roman"/>
          <w:b/>
          <w:bCs/>
          <w:sz w:val="32"/>
        </w:rPr>
      </w:pPr>
    </w:p>
    <w:p/>
    <w:p>
      <w:pPr>
        <w:pStyle w:val="15"/>
        <w:spacing w:line="360" w:lineRule="auto"/>
        <w:jc w:val="center"/>
        <w:rPr>
          <w:rFonts w:hAnsi="宋体"/>
          <w:b/>
          <w:bCs/>
          <w:spacing w:val="-20"/>
          <w:sz w:val="32"/>
          <w:szCs w:val="32"/>
        </w:rPr>
      </w:pPr>
      <w:r>
        <w:rPr>
          <w:rFonts w:hAnsi="宋体"/>
          <w:b/>
          <w:bCs/>
          <w:spacing w:val="-20"/>
          <w:sz w:val="32"/>
          <w:szCs w:val="32"/>
        </w:rPr>
        <w:t>采购人</w:t>
      </w:r>
      <w:r>
        <w:rPr>
          <w:rFonts w:hint="eastAsia" w:hAnsi="宋体"/>
          <w:b/>
          <w:bCs/>
          <w:spacing w:val="-20"/>
          <w:sz w:val="32"/>
          <w:szCs w:val="32"/>
        </w:rPr>
        <w:t>:</w:t>
      </w:r>
      <w:r>
        <w:rPr>
          <w:rFonts w:hint="eastAsia" w:ascii="Times New Roman"/>
          <w:b/>
          <w:bCs/>
          <w:sz w:val="32"/>
          <w:szCs w:val="32"/>
        </w:rPr>
        <w:t xml:space="preserve"> 云南农业职业技术学院</w:t>
      </w:r>
    </w:p>
    <w:p>
      <w:pPr>
        <w:pStyle w:val="15"/>
        <w:spacing w:line="360" w:lineRule="auto"/>
        <w:jc w:val="center"/>
        <w:rPr>
          <w:rFonts w:ascii="Times New Roman"/>
          <w:b/>
          <w:bCs/>
          <w:sz w:val="32"/>
          <w:szCs w:val="32"/>
        </w:rPr>
      </w:pPr>
      <w:r>
        <w:rPr>
          <w:rFonts w:ascii="Times New Roman"/>
          <w:b/>
          <w:bCs/>
          <w:sz w:val="32"/>
          <w:szCs w:val="32"/>
        </w:rPr>
        <w:t>采购代理机构：</w:t>
      </w:r>
      <w:r>
        <w:rPr>
          <w:rFonts w:hint="eastAsia" w:ascii="Times New Roman"/>
          <w:b/>
          <w:bCs/>
          <w:sz w:val="32"/>
          <w:szCs w:val="32"/>
        </w:rPr>
        <w:t>云南省政府采购和出让中心</w:t>
      </w:r>
    </w:p>
    <w:p>
      <w:pPr>
        <w:pStyle w:val="15"/>
        <w:spacing w:line="360" w:lineRule="auto"/>
        <w:jc w:val="center"/>
        <w:rPr>
          <w:rFonts w:hAnsi="宋体"/>
          <w:b/>
          <w:bCs/>
          <w:sz w:val="32"/>
          <w:szCs w:val="32"/>
        </w:rPr>
      </w:pPr>
      <w:r>
        <w:rPr>
          <w:rFonts w:hAnsi="宋体"/>
          <w:b/>
          <w:bCs/>
          <w:sz w:val="32"/>
          <w:szCs w:val="32"/>
        </w:rPr>
        <w:t>二○</w:t>
      </w:r>
      <w:r>
        <w:rPr>
          <w:rFonts w:hint="eastAsia" w:hAnsi="宋体"/>
          <w:b/>
          <w:bCs/>
          <w:sz w:val="32"/>
          <w:szCs w:val="32"/>
        </w:rPr>
        <w:t>二一年八</w:t>
      </w:r>
      <w:r>
        <w:rPr>
          <w:rFonts w:hAnsi="宋体"/>
          <w:b/>
          <w:bCs/>
          <w:sz w:val="32"/>
          <w:szCs w:val="32"/>
        </w:rPr>
        <w:t>月</w:t>
      </w:r>
    </w:p>
    <w:p>
      <w:pPr>
        <w:rPr>
          <w:rFonts w:ascii="宋体" w:hAnsi="宋体"/>
        </w:rPr>
        <w:sectPr>
          <w:footerReference r:id="rId3" w:type="default"/>
          <w:footerReference r:id="rId4" w:type="even"/>
          <w:pgSz w:w="11906" w:h="16838"/>
          <w:pgMar w:top="737" w:right="1134" w:bottom="794" w:left="1191" w:header="510" w:footer="510" w:gutter="0"/>
          <w:pgNumType w:start="0"/>
          <w:cols w:space="720" w:num="1"/>
          <w:titlePg/>
          <w:docGrid w:type="linesAndChars" w:linePitch="312" w:charSpace="0"/>
        </w:sectPr>
      </w:pPr>
      <w:r>
        <w:rPr>
          <w:rFonts w:ascii="宋体" w:hAnsi="宋体"/>
        </w:rPr>
        <w:br w:type="page"/>
      </w:r>
    </w:p>
    <w:sdt>
      <w:sdtPr>
        <w:rPr>
          <w:rFonts w:ascii="宋体" w:hAnsi="宋体"/>
        </w:rPr>
        <w:id w:val="147474430"/>
      </w:sdtPr>
      <w:sdtEndPr>
        <w:rPr>
          <w:rFonts w:ascii="宋体" w:hAnsi="宋体"/>
        </w:rPr>
      </w:sdtEndPr>
      <w:sdtContent>
        <w:p>
          <w:pPr>
            <w:jc w:val="center"/>
          </w:pPr>
          <w:r>
            <w:rPr>
              <w:rFonts w:ascii="宋体" w:hAnsi="宋体"/>
            </w:rPr>
            <w:t>目录</w:t>
          </w:r>
        </w:p>
        <w:p>
          <w:pPr>
            <w:pStyle w:val="22"/>
            <w:tabs>
              <w:tab w:val="right" w:leader="dot" w:pos="9581"/>
            </w:tabs>
          </w:pPr>
          <w:bookmarkStart w:id="367" w:name="_GoBack"/>
          <w:bookmarkEnd w:id="367"/>
          <w:r>
            <w:fldChar w:fldCharType="begin"/>
          </w:r>
          <w:r>
            <w:instrText xml:space="preserve">TOC \o "1-3" \h \u </w:instrText>
          </w:r>
          <w:r>
            <w:fldChar w:fldCharType="separate"/>
          </w:r>
          <w:r>
            <w:fldChar w:fldCharType="begin"/>
          </w:r>
          <w:r>
            <w:instrText xml:space="preserve"> HYPERLINK \l _Toc29748 </w:instrText>
          </w:r>
          <w:r>
            <w:fldChar w:fldCharType="separate"/>
          </w:r>
          <w:r>
            <w:rPr>
              <w:rFonts w:hint="eastAsia" w:ascii="宋体" w:hAnsi="宋体"/>
              <w:bCs/>
            </w:rPr>
            <w:t xml:space="preserve">第一章 </w:t>
          </w:r>
          <w:r>
            <w:rPr>
              <w:rFonts w:ascii="宋体" w:hAnsi="宋体"/>
              <w:bCs/>
            </w:rPr>
            <w:t>磋商邀请书</w:t>
          </w:r>
          <w:r>
            <w:tab/>
          </w:r>
          <w:r>
            <w:fldChar w:fldCharType="begin"/>
          </w:r>
          <w:r>
            <w:instrText xml:space="preserve"> PAGEREF _Toc29748 \h </w:instrText>
          </w:r>
          <w:r>
            <w:fldChar w:fldCharType="separate"/>
          </w:r>
          <w:r>
            <w:t>3</w:t>
          </w:r>
          <w:r>
            <w:fldChar w:fldCharType="end"/>
          </w:r>
          <w:r>
            <w:fldChar w:fldCharType="end"/>
          </w:r>
        </w:p>
        <w:p>
          <w:pPr>
            <w:pStyle w:val="26"/>
            <w:tabs>
              <w:tab w:val="right" w:leader="dot" w:pos="9581"/>
            </w:tabs>
          </w:pPr>
          <w:r>
            <w:fldChar w:fldCharType="begin"/>
          </w:r>
          <w:r>
            <w:instrText xml:space="preserve"> HYPERLINK \l _Toc30248 </w:instrText>
          </w:r>
          <w:r>
            <w:fldChar w:fldCharType="separate"/>
          </w:r>
          <w:r>
            <w:rPr>
              <w:rFonts w:hint="eastAsia" w:cs="宋体" w:asciiTheme="minorEastAsia" w:hAnsiTheme="minorEastAsia" w:eastAsiaTheme="minorEastAsia"/>
              <w:szCs w:val="21"/>
            </w:rPr>
            <w:t>一、项目基本情况</w:t>
          </w:r>
          <w:r>
            <w:tab/>
          </w:r>
          <w:r>
            <w:fldChar w:fldCharType="begin"/>
          </w:r>
          <w:r>
            <w:instrText xml:space="preserve"> PAGEREF _Toc30248 \h </w:instrText>
          </w:r>
          <w:r>
            <w:fldChar w:fldCharType="separate"/>
          </w:r>
          <w:r>
            <w:t>3</w:t>
          </w:r>
          <w:r>
            <w:fldChar w:fldCharType="end"/>
          </w:r>
          <w:r>
            <w:fldChar w:fldCharType="end"/>
          </w:r>
        </w:p>
        <w:p>
          <w:pPr>
            <w:pStyle w:val="26"/>
            <w:tabs>
              <w:tab w:val="right" w:leader="dot" w:pos="9581"/>
            </w:tabs>
          </w:pPr>
          <w:r>
            <w:fldChar w:fldCharType="begin"/>
          </w:r>
          <w:r>
            <w:instrText xml:space="preserve"> HYPERLINK \l _Toc27490 </w:instrText>
          </w:r>
          <w:r>
            <w:fldChar w:fldCharType="separate"/>
          </w:r>
          <w:r>
            <w:rPr>
              <w:rFonts w:hint="eastAsia" w:cs="宋体" w:asciiTheme="minorEastAsia" w:hAnsiTheme="minorEastAsia" w:eastAsiaTheme="minorEastAsia"/>
              <w:szCs w:val="21"/>
            </w:rPr>
            <w:t>二、申请人的资格要求</w:t>
          </w:r>
          <w:r>
            <w:tab/>
          </w:r>
          <w:r>
            <w:fldChar w:fldCharType="begin"/>
          </w:r>
          <w:r>
            <w:instrText xml:space="preserve"> PAGEREF _Toc27490 \h </w:instrText>
          </w:r>
          <w:r>
            <w:fldChar w:fldCharType="separate"/>
          </w:r>
          <w:r>
            <w:t>3</w:t>
          </w:r>
          <w:r>
            <w:fldChar w:fldCharType="end"/>
          </w:r>
          <w:r>
            <w:fldChar w:fldCharType="end"/>
          </w:r>
        </w:p>
        <w:p>
          <w:pPr>
            <w:pStyle w:val="26"/>
            <w:tabs>
              <w:tab w:val="right" w:leader="dot" w:pos="9581"/>
            </w:tabs>
          </w:pPr>
          <w:r>
            <w:fldChar w:fldCharType="begin"/>
          </w:r>
          <w:r>
            <w:instrText xml:space="preserve"> HYPERLINK \l _Toc26654 </w:instrText>
          </w:r>
          <w:r>
            <w:fldChar w:fldCharType="separate"/>
          </w:r>
          <w:r>
            <w:rPr>
              <w:rFonts w:hint="eastAsia" w:cs="宋体" w:asciiTheme="minorEastAsia" w:hAnsiTheme="minorEastAsia" w:eastAsiaTheme="minorEastAsia"/>
              <w:szCs w:val="21"/>
            </w:rPr>
            <w:t>三、获取采购文件</w:t>
          </w:r>
          <w:r>
            <w:tab/>
          </w:r>
          <w:r>
            <w:fldChar w:fldCharType="begin"/>
          </w:r>
          <w:r>
            <w:instrText xml:space="preserve"> PAGEREF _Toc26654 \h </w:instrText>
          </w:r>
          <w:r>
            <w:fldChar w:fldCharType="separate"/>
          </w:r>
          <w:r>
            <w:t>3</w:t>
          </w:r>
          <w:r>
            <w:fldChar w:fldCharType="end"/>
          </w:r>
          <w:r>
            <w:fldChar w:fldCharType="end"/>
          </w:r>
        </w:p>
        <w:p>
          <w:pPr>
            <w:pStyle w:val="26"/>
            <w:tabs>
              <w:tab w:val="right" w:leader="dot" w:pos="9581"/>
            </w:tabs>
          </w:pPr>
          <w:r>
            <w:fldChar w:fldCharType="begin"/>
          </w:r>
          <w:r>
            <w:instrText xml:space="preserve"> HYPERLINK \l _Toc13215 </w:instrText>
          </w:r>
          <w:r>
            <w:fldChar w:fldCharType="separate"/>
          </w:r>
          <w:r>
            <w:rPr>
              <w:rFonts w:hint="eastAsia" w:cs="宋体" w:asciiTheme="minorEastAsia" w:hAnsiTheme="minorEastAsia" w:eastAsiaTheme="minorEastAsia"/>
              <w:szCs w:val="21"/>
            </w:rPr>
            <w:t>四、响应文件提交</w:t>
          </w:r>
          <w:r>
            <w:tab/>
          </w:r>
          <w:r>
            <w:fldChar w:fldCharType="begin"/>
          </w:r>
          <w:r>
            <w:instrText xml:space="preserve"> PAGEREF _Toc13215 \h </w:instrText>
          </w:r>
          <w:r>
            <w:fldChar w:fldCharType="separate"/>
          </w:r>
          <w:r>
            <w:t>4</w:t>
          </w:r>
          <w:r>
            <w:fldChar w:fldCharType="end"/>
          </w:r>
          <w:r>
            <w:fldChar w:fldCharType="end"/>
          </w:r>
        </w:p>
        <w:p>
          <w:pPr>
            <w:pStyle w:val="26"/>
            <w:tabs>
              <w:tab w:val="right" w:leader="dot" w:pos="9581"/>
            </w:tabs>
          </w:pPr>
          <w:r>
            <w:fldChar w:fldCharType="begin"/>
          </w:r>
          <w:r>
            <w:instrText xml:space="preserve"> HYPERLINK \l _Toc18221 </w:instrText>
          </w:r>
          <w:r>
            <w:fldChar w:fldCharType="separate"/>
          </w:r>
          <w:r>
            <w:rPr>
              <w:rFonts w:hint="eastAsia" w:cs="宋体" w:asciiTheme="minorEastAsia" w:hAnsiTheme="minorEastAsia" w:eastAsiaTheme="minorEastAsia"/>
              <w:szCs w:val="21"/>
            </w:rPr>
            <w:t>五、开启</w:t>
          </w:r>
          <w:r>
            <w:tab/>
          </w:r>
          <w:r>
            <w:fldChar w:fldCharType="begin"/>
          </w:r>
          <w:r>
            <w:instrText xml:space="preserve"> PAGEREF _Toc18221 \h </w:instrText>
          </w:r>
          <w:r>
            <w:fldChar w:fldCharType="separate"/>
          </w:r>
          <w:r>
            <w:t>5</w:t>
          </w:r>
          <w:r>
            <w:fldChar w:fldCharType="end"/>
          </w:r>
          <w:r>
            <w:fldChar w:fldCharType="end"/>
          </w:r>
        </w:p>
        <w:p>
          <w:pPr>
            <w:pStyle w:val="26"/>
            <w:tabs>
              <w:tab w:val="right" w:leader="dot" w:pos="9581"/>
            </w:tabs>
          </w:pPr>
          <w:r>
            <w:fldChar w:fldCharType="begin"/>
          </w:r>
          <w:r>
            <w:instrText xml:space="preserve"> HYPERLINK \l _Toc14530 </w:instrText>
          </w:r>
          <w:r>
            <w:fldChar w:fldCharType="separate"/>
          </w:r>
          <w:r>
            <w:rPr>
              <w:rFonts w:hint="eastAsia" w:cs="宋体" w:asciiTheme="minorEastAsia" w:hAnsiTheme="minorEastAsia" w:eastAsiaTheme="minorEastAsia"/>
              <w:szCs w:val="21"/>
            </w:rPr>
            <w:t>六、公告期限</w:t>
          </w:r>
          <w:r>
            <w:tab/>
          </w:r>
          <w:r>
            <w:fldChar w:fldCharType="begin"/>
          </w:r>
          <w:r>
            <w:instrText xml:space="preserve"> PAGEREF _Toc14530 \h </w:instrText>
          </w:r>
          <w:r>
            <w:fldChar w:fldCharType="separate"/>
          </w:r>
          <w:r>
            <w:t>5</w:t>
          </w:r>
          <w:r>
            <w:fldChar w:fldCharType="end"/>
          </w:r>
          <w:r>
            <w:fldChar w:fldCharType="end"/>
          </w:r>
        </w:p>
        <w:p>
          <w:pPr>
            <w:pStyle w:val="26"/>
            <w:tabs>
              <w:tab w:val="right" w:leader="dot" w:pos="9581"/>
            </w:tabs>
          </w:pPr>
          <w:r>
            <w:fldChar w:fldCharType="begin"/>
          </w:r>
          <w:r>
            <w:instrText xml:space="preserve"> HYPERLINK \l _Toc29689 </w:instrText>
          </w:r>
          <w:r>
            <w:fldChar w:fldCharType="separate"/>
          </w:r>
          <w:r>
            <w:rPr>
              <w:rFonts w:hint="eastAsia" w:cs="宋体" w:asciiTheme="minorEastAsia" w:hAnsiTheme="minorEastAsia" w:eastAsiaTheme="minorEastAsia"/>
              <w:szCs w:val="21"/>
            </w:rPr>
            <w:t>七、其他补充事宜</w:t>
          </w:r>
          <w:r>
            <w:tab/>
          </w:r>
          <w:r>
            <w:fldChar w:fldCharType="begin"/>
          </w:r>
          <w:r>
            <w:instrText xml:space="preserve"> PAGEREF _Toc29689 \h </w:instrText>
          </w:r>
          <w:r>
            <w:fldChar w:fldCharType="separate"/>
          </w:r>
          <w:r>
            <w:t>5</w:t>
          </w:r>
          <w:r>
            <w:fldChar w:fldCharType="end"/>
          </w:r>
          <w:r>
            <w:fldChar w:fldCharType="end"/>
          </w:r>
        </w:p>
        <w:p>
          <w:pPr>
            <w:pStyle w:val="26"/>
            <w:tabs>
              <w:tab w:val="right" w:leader="dot" w:pos="9581"/>
            </w:tabs>
          </w:pPr>
          <w:r>
            <w:fldChar w:fldCharType="begin"/>
          </w:r>
          <w:r>
            <w:instrText xml:space="preserve"> HYPERLINK \l _Toc5214 </w:instrText>
          </w:r>
          <w:r>
            <w:fldChar w:fldCharType="separate"/>
          </w:r>
          <w:r>
            <w:rPr>
              <w:rFonts w:hint="eastAsia" w:cs="宋体" w:asciiTheme="minorEastAsia" w:hAnsiTheme="minorEastAsia" w:eastAsiaTheme="minorEastAsia"/>
              <w:szCs w:val="21"/>
            </w:rPr>
            <w:t>八、凡对本次采购提出询问，请按以下方式联系</w:t>
          </w:r>
          <w:r>
            <w:tab/>
          </w:r>
          <w:r>
            <w:fldChar w:fldCharType="begin"/>
          </w:r>
          <w:r>
            <w:instrText xml:space="preserve"> PAGEREF _Toc5214 \h </w:instrText>
          </w:r>
          <w:r>
            <w:fldChar w:fldCharType="separate"/>
          </w:r>
          <w:r>
            <w:t>5</w:t>
          </w:r>
          <w:r>
            <w:fldChar w:fldCharType="end"/>
          </w:r>
          <w:r>
            <w:fldChar w:fldCharType="end"/>
          </w:r>
        </w:p>
        <w:p>
          <w:pPr>
            <w:pStyle w:val="22"/>
            <w:tabs>
              <w:tab w:val="right" w:leader="dot" w:pos="9581"/>
            </w:tabs>
          </w:pPr>
          <w:r>
            <w:fldChar w:fldCharType="begin"/>
          </w:r>
          <w:r>
            <w:instrText xml:space="preserve"> HYPERLINK \l _Toc30531 </w:instrText>
          </w:r>
          <w:r>
            <w:fldChar w:fldCharType="separate"/>
          </w:r>
          <w:r>
            <w:rPr>
              <w:rFonts w:ascii="宋体" w:hAnsi="宋体" w:eastAsia="宋体"/>
            </w:rPr>
            <w:t>第二章  供应商须知</w:t>
          </w:r>
          <w:r>
            <w:tab/>
          </w:r>
          <w:r>
            <w:fldChar w:fldCharType="begin"/>
          </w:r>
          <w:r>
            <w:instrText xml:space="preserve"> PAGEREF _Toc30531 \h </w:instrText>
          </w:r>
          <w:r>
            <w:fldChar w:fldCharType="separate"/>
          </w:r>
          <w:r>
            <w:t>7</w:t>
          </w:r>
          <w:r>
            <w:fldChar w:fldCharType="end"/>
          </w:r>
          <w:r>
            <w:fldChar w:fldCharType="end"/>
          </w:r>
        </w:p>
        <w:p>
          <w:pPr>
            <w:pStyle w:val="26"/>
            <w:tabs>
              <w:tab w:val="right" w:leader="dot" w:pos="9581"/>
            </w:tabs>
          </w:pPr>
          <w:r>
            <w:fldChar w:fldCharType="begin"/>
          </w:r>
          <w:r>
            <w:instrText xml:space="preserve"> HYPERLINK \l _Toc5059 </w:instrText>
          </w:r>
          <w:r>
            <w:fldChar w:fldCharType="separate"/>
          </w:r>
          <w:r>
            <w:rPr>
              <w:rFonts w:ascii="宋体" w:hAnsi="宋体"/>
              <w:szCs w:val="28"/>
            </w:rPr>
            <w:t>供应商须知前附表</w:t>
          </w:r>
          <w:r>
            <w:tab/>
          </w:r>
          <w:r>
            <w:fldChar w:fldCharType="begin"/>
          </w:r>
          <w:r>
            <w:instrText xml:space="preserve"> PAGEREF _Toc5059 \h </w:instrText>
          </w:r>
          <w:r>
            <w:fldChar w:fldCharType="separate"/>
          </w:r>
          <w:r>
            <w:t>7</w:t>
          </w:r>
          <w:r>
            <w:fldChar w:fldCharType="end"/>
          </w:r>
          <w:r>
            <w:fldChar w:fldCharType="end"/>
          </w:r>
        </w:p>
        <w:p>
          <w:pPr>
            <w:pStyle w:val="26"/>
            <w:tabs>
              <w:tab w:val="right" w:leader="dot" w:pos="9581"/>
            </w:tabs>
          </w:pPr>
          <w:r>
            <w:fldChar w:fldCharType="begin"/>
          </w:r>
          <w:r>
            <w:instrText xml:space="preserve"> HYPERLINK \l _Toc31335 </w:instrText>
          </w:r>
          <w:r>
            <w:fldChar w:fldCharType="separate"/>
          </w:r>
          <w:r>
            <w:rPr>
              <w:rFonts w:ascii="宋体" w:hAnsi="宋体"/>
              <w:szCs w:val="28"/>
            </w:rPr>
            <w:t>一、总  则</w:t>
          </w:r>
          <w:r>
            <w:tab/>
          </w:r>
          <w:r>
            <w:fldChar w:fldCharType="begin"/>
          </w:r>
          <w:r>
            <w:instrText xml:space="preserve"> PAGEREF _Toc31335 \h </w:instrText>
          </w:r>
          <w:r>
            <w:fldChar w:fldCharType="separate"/>
          </w:r>
          <w:r>
            <w:t>9</w:t>
          </w:r>
          <w:r>
            <w:fldChar w:fldCharType="end"/>
          </w:r>
          <w:r>
            <w:fldChar w:fldCharType="end"/>
          </w:r>
        </w:p>
        <w:p>
          <w:pPr>
            <w:pStyle w:val="14"/>
            <w:tabs>
              <w:tab w:val="right" w:leader="dot" w:pos="9581"/>
              <w:tab w:val="clear" w:pos="9515"/>
            </w:tabs>
          </w:pPr>
          <w:r>
            <w:fldChar w:fldCharType="begin"/>
          </w:r>
          <w:r>
            <w:instrText xml:space="preserve"> HYPERLINK \l _Toc12034 </w:instrText>
          </w:r>
          <w:r>
            <w:fldChar w:fldCharType="separate"/>
          </w:r>
          <w:r>
            <w:rPr>
              <w:rFonts w:hint="default" w:hAnsi="宋体"/>
              <w:szCs w:val="24"/>
            </w:rPr>
            <w:t xml:space="preserve">1. </w:t>
          </w:r>
          <w:r>
            <w:rPr>
              <w:rFonts w:hAnsi="宋体"/>
              <w:szCs w:val="24"/>
            </w:rPr>
            <w:t>项目概况</w:t>
          </w:r>
          <w:r>
            <w:tab/>
          </w:r>
          <w:r>
            <w:fldChar w:fldCharType="begin"/>
          </w:r>
          <w:r>
            <w:instrText xml:space="preserve"> PAGEREF _Toc12034 \h </w:instrText>
          </w:r>
          <w:r>
            <w:fldChar w:fldCharType="separate"/>
          </w:r>
          <w:r>
            <w:t>9</w:t>
          </w:r>
          <w:r>
            <w:fldChar w:fldCharType="end"/>
          </w:r>
          <w:r>
            <w:fldChar w:fldCharType="end"/>
          </w:r>
        </w:p>
        <w:p>
          <w:pPr>
            <w:pStyle w:val="14"/>
            <w:tabs>
              <w:tab w:val="right" w:leader="dot" w:pos="9581"/>
              <w:tab w:val="clear" w:pos="9515"/>
            </w:tabs>
          </w:pPr>
          <w:r>
            <w:fldChar w:fldCharType="begin"/>
          </w:r>
          <w:r>
            <w:instrText xml:space="preserve"> HYPERLINK \l _Toc16584 </w:instrText>
          </w:r>
          <w:r>
            <w:fldChar w:fldCharType="separate"/>
          </w:r>
          <w:r>
            <w:rPr>
              <w:rFonts w:hint="default" w:hAnsi="宋体"/>
              <w:szCs w:val="24"/>
            </w:rPr>
            <w:t xml:space="preserve">2. </w:t>
          </w:r>
          <w:r>
            <w:rPr>
              <w:rFonts w:hAnsi="宋体"/>
              <w:szCs w:val="24"/>
            </w:rPr>
            <w:t>资金来源</w:t>
          </w:r>
          <w:r>
            <w:tab/>
          </w:r>
          <w:r>
            <w:fldChar w:fldCharType="begin"/>
          </w:r>
          <w:r>
            <w:instrText xml:space="preserve"> PAGEREF _Toc16584 \h </w:instrText>
          </w:r>
          <w:r>
            <w:fldChar w:fldCharType="separate"/>
          </w:r>
          <w:r>
            <w:t>9</w:t>
          </w:r>
          <w:r>
            <w:fldChar w:fldCharType="end"/>
          </w:r>
          <w:r>
            <w:fldChar w:fldCharType="end"/>
          </w:r>
        </w:p>
        <w:p>
          <w:pPr>
            <w:pStyle w:val="14"/>
            <w:tabs>
              <w:tab w:val="right" w:leader="dot" w:pos="9581"/>
              <w:tab w:val="clear" w:pos="9515"/>
            </w:tabs>
          </w:pPr>
          <w:r>
            <w:fldChar w:fldCharType="begin"/>
          </w:r>
          <w:r>
            <w:instrText xml:space="preserve"> HYPERLINK \l _Toc292 </w:instrText>
          </w:r>
          <w:r>
            <w:fldChar w:fldCharType="separate"/>
          </w:r>
          <w:r>
            <w:rPr>
              <w:rFonts w:hint="default" w:hAnsi="宋体"/>
              <w:szCs w:val="24"/>
            </w:rPr>
            <w:t xml:space="preserve">3. </w:t>
          </w:r>
          <w:r>
            <w:rPr>
              <w:rFonts w:hint="eastAsia" w:hAnsi="宋体"/>
            </w:rPr>
            <w:t>服务</w:t>
          </w:r>
          <w:r>
            <w:rPr>
              <w:rFonts w:hAnsi="宋体"/>
            </w:rPr>
            <w:t>范围</w:t>
          </w:r>
          <w:r>
            <w:rPr>
              <w:rFonts w:hAnsi="宋体"/>
              <w:szCs w:val="24"/>
            </w:rPr>
            <w:t>及</w:t>
          </w:r>
          <w:r>
            <w:rPr>
              <w:rFonts w:hint="eastAsia" w:hAnsi="宋体"/>
            </w:rPr>
            <w:t>服务期限</w:t>
          </w:r>
          <w:r>
            <w:tab/>
          </w:r>
          <w:r>
            <w:fldChar w:fldCharType="begin"/>
          </w:r>
          <w:r>
            <w:instrText xml:space="preserve"> PAGEREF _Toc292 \h </w:instrText>
          </w:r>
          <w:r>
            <w:fldChar w:fldCharType="separate"/>
          </w:r>
          <w:r>
            <w:t>9</w:t>
          </w:r>
          <w:r>
            <w:fldChar w:fldCharType="end"/>
          </w:r>
          <w:r>
            <w:fldChar w:fldCharType="end"/>
          </w:r>
        </w:p>
        <w:p>
          <w:pPr>
            <w:pStyle w:val="14"/>
            <w:tabs>
              <w:tab w:val="right" w:leader="dot" w:pos="9581"/>
              <w:tab w:val="clear" w:pos="9515"/>
            </w:tabs>
          </w:pPr>
          <w:r>
            <w:fldChar w:fldCharType="begin"/>
          </w:r>
          <w:r>
            <w:instrText xml:space="preserve"> HYPERLINK \l _Toc4538 </w:instrText>
          </w:r>
          <w:r>
            <w:fldChar w:fldCharType="separate"/>
          </w:r>
          <w:r>
            <w:rPr>
              <w:rFonts w:hint="default" w:hAnsi="宋体"/>
              <w:szCs w:val="24"/>
            </w:rPr>
            <w:t xml:space="preserve">4. </w:t>
          </w:r>
          <w:r>
            <w:rPr>
              <w:rFonts w:hAnsi="宋体"/>
            </w:rPr>
            <w:t>★</w:t>
          </w:r>
          <w:r>
            <w:rPr>
              <w:rFonts w:hAnsi="宋体"/>
              <w:szCs w:val="24"/>
            </w:rPr>
            <w:t>合格的供应商（以下简称供应商）</w:t>
          </w:r>
          <w:r>
            <w:tab/>
          </w:r>
          <w:r>
            <w:fldChar w:fldCharType="begin"/>
          </w:r>
          <w:r>
            <w:instrText xml:space="preserve"> PAGEREF _Toc4538 \h </w:instrText>
          </w:r>
          <w:r>
            <w:fldChar w:fldCharType="separate"/>
          </w:r>
          <w:r>
            <w:t>9</w:t>
          </w:r>
          <w:r>
            <w:fldChar w:fldCharType="end"/>
          </w:r>
          <w:r>
            <w:fldChar w:fldCharType="end"/>
          </w:r>
        </w:p>
        <w:p>
          <w:pPr>
            <w:pStyle w:val="14"/>
            <w:tabs>
              <w:tab w:val="right" w:leader="dot" w:pos="9581"/>
              <w:tab w:val="clear" w:pos="9515"/>
            </w:tabs>
          </w:pPr>
          <w:r>
            <w:fldChar w:fldCharType="begin"/>
          </w:r>
          <w:r>
            <w:instrText xml:space="preserve"> HYPERLINK \l _Toc4842 </w:instrText>
          </w:r>
          <w:r>
            <w:fldChar w:fldCharType="separate"/>
          </w:r>
          <w:r>
            <w:rPr>
              <w:rFonts w:hint="default" w:hAnsi="宋体"/>
              <w:szCs w:val="24"/>
            </w:rPr>
            <w:t xml:space="preserve">5. </w:t>
          </w:r>
          <w:r>
            <w:rPr>
              <w:rFonts w:hAnsi="宋体"/>
              <w:szCs w:val="24"/>
            </w:rPr>
            <w:t>磋商费用</w:t>
          </w:r>
          <w:r>
            <w:tab/>
          </w:r>
          <w:r>
            <w:fldChar w:fldCharType="begin"/>
          </w:r>
          <w:r>
            <w:instrText xml:space="preserve"> PAGEREF _Toc4842 \h </w:instrText>
          </w:r>
          <w:r>
            <w:fldChar w:fldCharType="separate"/>
          </w:r>
          <w:r>
            <w:t>9</w:t>
          </w:r>
          <w:r>
            <w:fldChar w:fldCharType="end"/>
          </w:r>
          <w:r>
            <w:fldChar w:fldCharType="end"/>
          </w:r>
        </w:p>
        <w:p>
          <w:pPr>
            <w:pStyle w:val="26"/>
            <w:tabs>
              <w:tab w:val="right" w:leader="dot" w:pos="9581"/>
            </w:tabs>
          </w:pPr>
          <w:r>
            <w:fldChar w:fldCharType="begin"/>
          </w:r>
          <w:r>
            <w:instrText xml:space="preserve"> HYPERLINK \l _Toc16045 </w:instrText>
          </w:r>
          <w:r>
            <w:fldChar w:fldCharType="separate"/>
          </w:r>
          <w:r>
            <w:rPr>
              <w:rFonts w:ascii="宋体" w:hAnsi="宋体"/>
              <w:szCs w:val="24"/>
            </w:rPr>
            <w:t>二、磋商文件</w:t>
          </w:r>
          <w:r>
            <w:tab/>
          </w:r>
          <w:r>
            <w:fldChar w:fldCharType="begin"/>
          </w:r>
          <w:r>
            <w:instrText xml:space="preserve"> PAGEREF _Toc16045 \h </w:instrText>
          </w:r>
          <w:r>
            <w:fldChar w:fldCharType="separate"/>
          </w:r>
          <w:r>
            <w:t>9</w:t>
          </w:r>
          <w:r>
            <w:fldChar w:fldCharType="end"/>
          </w:r>
          <w:r>
            <w:fldChar w:fldCharType="end"/>
          </w:r>
        </w:p>
        <w:p>
          <w:pPr>
            <w:pStyle w:val="14"/>
            <w:tabs>
              <w:tab w:val="right" w:leader="dot" w:pos="9581"/>
              <w:tab w:val="clear" w:pos="9515"/>
            </w:tabs>
          </w:pPr>
          <w:r>
            <w:fldChar w:fldCharType="begin"/>
          </w:r>
          <w:r>
            <w:instrText xml:space="preserve"> HYPERLINK \l _Toc5340 </w:instrText>
          </w:r>
          <w:r>
            <w:fldChar w:fldCharType="separate"/>
          </w:r>
          <w:r>
            <w:rPr>
              <w:rFonts w:hint="default" w:hAnsi="宋体"/>
              <w:szCs w:val="24"/>
            </w:rPr>
            <w:t xml:space="preserve">6. </w:t>
          </w:r>
          <w:r>
            <w:rPr>
              <w:rFonts w:hAnsi="宋体"/>
              <w:szCs w:val="24"/>
            </w:rPr>
            <w:t>磋商文件的组成</w:t>
          </w:r>
          <w:r>
            <w:tab/>
          </w:r>
          <w:r>
            <w:fldChar w:fldCharType="begin"/>
          </w:r>
          <w:r>
            <w:instrText xml:space="preserve"> PAGEREF _Toc5340 \h </w:instrText>
          </w:r>
          <w:r>
            <w:fldChar w:fldCharType="separate"/>
          </w:r>
          <w:r>
            <w:t>9</w:t>
          </w:r>
          <w:r>
            <w:fldChar w:fldCharType="end"/>
          </w:r>
          <w:r>
            <w:fldChar w:fldCharType="end"/>
          </w:r>
        </w:p>
        <w:p>
          <w:pPr>
            <w:pStyle w:val="14"/>
            <w:tabs>
              <w:tab w:val="right" w:leader="dot" w:pos="9581"/>
              <w:tab w:val="clear" w:pos="9515"/>
            </w:tabs>
          </w:pPr>
          <w:r>
            <w:fldChar w:fldCharType="begin"/>
          </w:r>
          <w:r>
            <w:instrText xml:space="preserve"> HYPERLINK \l _Toc3996 </w:instrText>
          </w:r>
          <w:r>
            <w:fldChar w:fldCharType="separate"/>
          </w:r>
          <w:r>
            <w:rPr>
              <w:rFonts w:hint="default" w:hAnsi="宋体"/>
              <w:szCs w:val="24"/>
            </w:rPr>
            <w:t xml:space="preserve">7. </w:t>
          </w:r>
          <w:r>
            <w:rPr>
              <w:rFonts w:hAnsi="宋体"/>
              <w:szCs w:val="24"/>
            </w:rPr>
            <w:t>磋商文件的澄清、修改</w:t>
          </w:r>
          <w:r>
            <w:tab/>
          </w:r>
          <w:r>
            <w:fldChar w:fldCharType="begin"/>
          </w:r>
          <w:r>
            <w:instrText xml:space="preserve"> PAGEREF _Toc3996 \h </w:instrText>
          </w:r>
          <w:r>
            <w:fldChar w:fldCharType="separate"/>
          </w:r>
          <w:r>
            <w:t>10</w:t>
          </w:r>
          <w:r>
            <w:fldChar w:fldCharType="end"/>
          </w:r>
          <w:r>
            <w:fldChar w:fldCharType="end"/>
          </w:r>
        </w:p>
        <w:p>
          <w:pPr>
            <w:pStyle w:val="26"/>
            <w:tabs>
              <w:tab w:val="right" w:leader="dot" w:pos="9581"/>
            </w:tabs>
          </w:pPr>
          <w:r>
            <w:fldChar w:fldCharType="begin"/>
          </w:r>
          <w:r>
            <w:instrText xml:space="preserve"> HYPERLINK \l _Toc19047 </w:instrText>
          </w:r>
          <w:r>
            <w:fldChar w:fldCharType="separate"/>
          </w:r>
          <w:r>
            <w:rPr>
              <w:rFonts w:ascii="宋体" w:hAnsi="宋体"/>
              <w:szCs w:val="24"/>
            </w:rPr>
            <w:t>三、响应文件的编制</w:t>
          </w:r>
          <w:r>
            <w:tab/>
          </w:r>
          <w:r>
            <w:fldChar w:fldCharType="begin"/>
          </w:r>
          <w:r>
            <w:instrText xml:space="preserve"> PAGEREF _Toc19047 \h </w:instrText>
          </w:r>
          <w:r>
            <w:fldChar w:fldCharType="separate"/>
          </w:r>
          <w:r>
            <w:t>10</w:t>
          </w:r>
          <w:r>
            <w:fldChar w:fldCharType="end"/>
          </w:r>
          <w:r>
            <w:fldChar w:fldCharType="end"/>
          </w:r>
        </w:p>
        <w:p>
          <w:pPr>
            <w:pStyle w:val="14"/>
            <w:tabs>
              <w:tab w:val="right" w:leader="dot" w:pos="9581"/>
              <w:tab w:val="clear" w:pos="9515"/>
            </w:tabs>
          </w:pPr>
          <w:r>
            <w:fldChar w:fldCharType="begin"/>
          </w:r>
          <w:r>
            <w:instrText xml:space="preserve"> HYPERLINK \l _Toc28690 </w:instrText>
          </w:r>
          <w:r>
            <w:fldChar w:fldCharType="separate"/>
          </w:r>
          <w:r>
            <w:rPr>
              <w:rFonts w:hint="default" w:hAnsi="宋体"/>
              <w:szCs w:val="24"/>
            </w:rPr>
            <w:t xml:space="preserve">8. </w:t>
          </w:r>
          <w:r>
            <w:rPr>
              <w:rFonts w:hAnsi="宋体"/>
              <w:szCs w:val="24"/>
            </w:rPr>
            <w:t>响应文件编写注意事项</w:t>
          </w:r>
          <w:r>
            <w:tab/>
          </w:r>
          <w:r>
            <w:fldChar w:fldCharType="begin"/>
          </w:r>
          <w:r>
            <w:instrText xml:space="preserve"> PAGEREF _Toc28690 \h </w:instrText>
          </w:r>
          <w:r>
            <w:fldChar w:fldCharType="separate"/>
          </w:r>
          <w:r>
            <w:t>10</w:t>
          </w:r>
          <w:r>
            <w:fldChar w:fldCharType="end"/>
          </w:r>
          <w:r>
            <w:fldChar w:fldCharType="end"/>
          </w:r>
        </w:p>
        <w:p>
          <w:pPr>
            <w:pStyle w:val="14"/>
            <w:tabs>
              <w:tab w:val="right" w:leader="dot" w:pos="9581"/>
              <w:tab w:val="clear" w:pos="9515"/>
            </w:tabs>
          </w:pPr>
          <w:r>
            <w:fldChar w:fldCharType="begin"/>
          </w:r>
          <w:r>
            <w:instrText xml:space="preserve"> HYPERLINK \l _Toc14173 </w:instrText>
          </w:r>
          <w:r>
            <w:fldChar w:fldCharType="separate"/>
          </w:r>
          <w:r>
            <w:rPr>
              <w:rFonts w:hint="default" w:hAnsi="宋体"/>
              <w:szCs w:val="24"/>
            </w:rPr>
            <w:t xml:space="preserve">9. </w:t>
          </w:r>
          <w:r>
            <w:rPr>
              <w:rFonts w:hAnsi="宋体"/>
              <w:szCs w:val="24"/>
            </w:rPr>
            <w:t>响应文件构成</w:t>
          </w:r>
          <w:r>
            <w:tab/>
          </w:r>
          <w:r>
            <w:fldChar w:fldCharType="begin"/>
          </w:r>
          <w:r>
            <w:instrText xml:space="preserve"> PAGEREF _Toc14173 \h </w:instrText>
          </w:r>
          <w:r>
            <w:fldChar w:fldCharType="separate"/>
          </w:r>
          <w:r>
            <w:t>10</w:t>
          </w:r>
          <w:r>
            <w:fldChar w:fldCharType="end"/>
          </w:r>
          <w:r>
            <w:fldChar w:fldCharType="end"/>
          </w:r>
        </w:p>
        <w:p>
          <w:pPr>
            <w:pStyle w:val="14"/>
            <w:tabs>
              <w:tab w:val="right" w:leader="dot" w:pos="9581"/>
              <w:tab w:val="clear" w:pos="9515"/>
            </w:tabs>
          </w:pPr>
          <w:r>
            <w:fldChar w:fldCharType="begin"/>
          </w:r>
          <w:r>
            <w:instrText xml:space="preserve"> HYPERLINK \l _Toc18757 </w:instrText>
          </w:r>
          <w:r>
            <w:fldChar w:fldCharType="separate"/>
          </w:r>
          <w:r>
            <w:rPr>
              <w:rFonts w:hint="eastAsia" w:hAnsi="宋体"/>
              <w:szCs w:val="24"/>
            </w:rPr>
            <w:t>10.</w:t>
          </w:r>
          <w:r>
            <w:rPr>
              <w:rFonts w:hAnsi="宋体"/>
              <w:szCs w:val="24"/>
            </w:rPr>
            <w:t>报价和报价货币</w:t>
          </w:r>
          <w:r>
            <w:tab/>
          </w:r>
          <w:r>
            <w:fldChar w:fldCharType="begin"/>
          </w:r>
          <w:r>
            <w:instrText xml:space="preserve"> PAGEREF _Toc18757 \h </w:instrText>
          </w:r>
          <w:r>
            <w:fldChar w:fldCharType="separate"/>
          </w:r>
          <w:r>
            <w:t>11</w:t>
          </w:r>
          <w:r>
            <w:fldChar w:fldCharType="end"/>
          </w:r>
          <w:r>
            <w:fldChar w:fldCharType="end"/>
          </w:r>
        </w:p>
        <w:p>
          <w:pPr>
            <w:pStyle w:val="14"/>
            <w:tabs>
              <w:tab w:val="right" w:leader="dot" w:pos="9581"/>
              <w:tab w:val="clear" w:pos="9515"/>
            </w:tabs>
          </w:pPr>
          <w:r>
            <w:fldChar w:fldCharType="begin"/>
          </w:r>
          <w:r>
            <w:instrText xml:space="preserve"> HYPERLINK \l _Toc27165 </w:instrText>
          </w:r>
          <w:r>
            <w:fldChar w:fldCharType="separate"/>
          </w:r>
          <w:r>
            <w:rPr>
              <w:rFonts w:hint="eastAsia" w:hAnsi="宋体"/>
              <w:szCs w:val="24"/>
            </w:rPr>
            <w:t xml:space="preserve">11. </w:t>
          </w:r>
          <w:r>
            <w:rPr>
              <w:rFonts w:hAnsi="宋体"/>
              <w:szCs w:val="24"/>
            </w:rPr>
            <w:t>有效期</w:t>
          </w:r>
          <w:r>
            <w:tab/>
          </w:r>
          <w:r>
            <w:fldChar w:fldCharType="begin"/>
          </w:r>
          <w:r>
            <w:instrText xml:space="preserve"> PAGEREF _Toc27165 \h </w:instrText>
          </w:r>
          <w:r>
            <w:fldChar w:fldCharType="separate"/>
          </w:r>
          <w:r>
            <w:t>12</w:t>
          </w:r>
          <w:r>
            <w:fldChar w:fldCharType="end"/>
          </w:r>
          <w:r>
            <w:fldChar w:fldCharType="end"/>
          </w:r>
        </w:p>
        <w:p>
          <w:pPr>
            <w:pStyle w:val="14"/>
            <w:tabs>
              <w:tab w:val="right" w:leader="dot" w:pos="9581"/>
              <w:tab w:val="clear" w:pos="9515"/>
            </w:tabs>
          </w:pPr>
          <w:r>
            <w:fldChar w:fldCharType="begin"/>
          </w:r>
          <w:r>
            <w:instrText xml:space="preserve"> HYPERLINK \l _Toc6678 </w:instrText>
          </w:r>
          <w:r>
            <w:fldChar w:fldCharType="separate"/>
          </w:r>
          <w:r>
            <w:rPr>
              <w:rFonts w:hint="eastAsia" w:hAnsi="宋体"/>
              <w:szCs w:val="24"/>
            </w:rPr>
            <w:t xml:space="preserve">12. </w:t>
          </w:r>
          <w:r>
            <w:rPr>
              <w:rFonts w:hAnsi="宋体"/>
              <w:szCs w:val="24"/>
            </w:rPr>
            <w:t>响应文件的书写要求</w:t>
          </w:r>
          <w:r>
            <w:tab/>
          </w:r>
          <w:r>
            <w:fldChar w:fldCharType="begin"/>
          </w:r>
          <w:r>
            <w:instrText xml:space="preserve"> PAGEREF _Toc6678 \h </w:instrText>
          </w:r>
          <w:r>
            <w:fldChar w:fldCharType="separate"/>
          </w:r>
          <w:r>
            <w:t>12</w:t>
          </w:r>
          <w:r>
            <w:fldChar w:fldCharType="end"/>
          </w:r>
          <w:r>
            <w:fldChar w:fldCharType="end"/>
          </w:r>
        </w:p>
        <w:p>
          <w:pPr>
            <w:pStyle w:val="14"/>
            <w:tabs>
              <w:tab w:val="right" w:leader="dot" w:pos="9581"/>
              <w:tab w:val="clear" w:pos="9515"/>
            </w:tabs>
          </w:pPr>
          <w:r>
            <w:fldChar w:fldCharType="begin"/>
          </w:r>
          <w:r>
            <w:instrText xml:space="preserve"> HYPERLINK \l _Toc20507 </w:instrText>
          </w:r>
          <w:r>
            <w:fldChar w:fldCharType="separate"/>
          </w:r>
          <w:r>
            <w:rPr>
              <w:rFonts w:hAnsi="宋体"/>
              <w:szCs w:val="24"/>
            </w:rPr>
            <w:t>13. 保证金</w:t>
          </w:r>
          <w:r>
            <w:rPr>
              <w:rFonts w:hint="eastAsia" w:hAnsi="宋体"/>
              <w:szCs w:val="24"/>
            </w:rPr>
            <w:t>：无</w:t>
          </w:r>
          <w:r>
            <w:tab/>
          </w:r>
          <w:r>
            <w:fldChar w:fldCharType="begin"/>
          </w:r>
          <w:r>
            <w:instrText xml:space="preserve"> PAGEREF _Toc20507 \h </w:instrText>
          </w:r>
          <w:r>
            <w:fldChar w:fldCharType="separate"/>
          </w:r>
          <w:r>
            <w:t>12</w:t>
          </w:r>
          <w:r>
            <w:fldChar w:fldCharType="end"/>
          </w:r>
          <w:r>
            <w:fldChar w:fldCharType="end"/>
          </w:r>
        </w:p>
        <w:p>
          <w:pPr>
            <w:pStyle w:val="26"/>
            <w:tabs>
              <w:tab w:val="right" w:leader="dot" w:pos="9581"/>
            </w:tabs>
          </w:pPr>
          <w:r>
            <w:fldChar w:fldCharType="begin"/>
          </w:r>
          <w:r>
            <w:instrText xml:space="preserve"> HYPERLINK \l _Toc9202 </w:instrText>
          </w:r>
          <w:r>
            <w:fldChar w:fldCharType="separate"/>
          </w:r>
          <w:r>
            <w:rPr>
              <w:rFonts w:ascii="宋体" w:hAnsi="宋体"/>
              <w:szCs w:val="24"/>
            </w:rPr>
            <w:t>四、响应文件的提交</w:t>
          </w:r>
          <w:r>
            <w:tab/>
          </w:r>
          <w:r>
            <w:fldChar w:fldCharType="begin"/>
          </w:r>
          <w:r>
            <w:instrText xml:space="preserve"> PAGEREF _Toc9202 \h </w:instrText>
          </w:r>
          <w:r>
            <w:fldChar w:fldCharType="separate"/>
          </w:r>
          <w:r>
            <w:t>12</w:t>
          </w:r>
          <w:r>
            <w:fldChar w:fldCharType="end"/>
          </w:r>
          <w:r>
            <w:fldChar w:fldCharType="end"/>
          </w:r>
        </w:p>
        <w:p>
          <w:pPr>
            <w:pStyle w:val="14"/>
            <w:tabs>
              <w:tab w:val="right" w:leader="dot" w:pos="9581"/>
              <w:tab w:val="clear" w:pos="9515"/>
            </w:tabs>
          </w:pPr>
          <w:r>
            <w:fldChar w:fldCharType="begin"/>
          </w:r>
          <w:r>
            <w:instrText xml:space="preserve"> HYPERLINK \l _Toc12205 </w:instrText>
          </w:r>
          <w:r>
            <w:fldChar w:fldCharType="separate"/>
          </w:r>
          <w:r>
            <w:rPr>
              <w:rFonts w:hint="eastAsia" w:hAnsi="宋体"/>
              <w:szCs w:val="24"/>
            </w:rPr>
            <w:t xml:space="preserve">14. </w:t>
          </w:r>
          <w:r>
            <w:rPr>
              <w:rFonts w:hAnsi="宋体"/>
              <w:szCs w:val="24"/>
            </w:rPr>
            <w:t>响应文件的密封与标记</w:t>
          </w:r>
          <w:r>
            <w:tab/>
          </w:r>
          <w:r>
            <w:fldChar w:fldCharType="begin"/>
          </w:r>
          <w:r>
            <w:instrText xml:space="preserve"> PAGEREF _Toc12205 \h </w:instrText>
          </w:r>
          <w:r>
            <w:fldChar w:fldCharType="separate"/>
          </w:r>
          <w:r>
            <w:t>12</w:t>
          </w:r>
          <w:r>
            <w:fldChar w:fldCharType="end"/>
          </w:r>
          <w:r>
            <w:fldChar w:fldCharType="end"/>
          </w:r>
        </w:p>
        <w:p>
          <w:pPr>
            <w:pStyle w:val="14"/>
            <w:tabs>
              <w:tab w:val="right" w:leader="dot" w:pos="9581"/>
              <w:tab w:val="clear" w:pos="9515"/>
            </w:tabs>
          </w:pPr>
          <w:r>
            <w:fldChar w:fldCharType="begin"/>
          </w:r>
          <w:r>
            <w:instrText xml:space="preserve"> HYPERLINK \l _Toc31725 </w:instrText>
          </w:r>
          <w:r>
            <w:fldChar w:fldCharType="separate"/>
          </w:r>
          <w:r>
            <w:rPr>
              <w:rFonts w:hint="eastAsia" w:hAnsi="宋体"/>
              <w:szCs w:val="24"/>
            </w:rPr>
            <w:t>15.提交电子响应文件（光盘）和纸质响应文件的截止时间和地点</w:t>
          </w:r>
          <w:r>
            <w:tab/>
          </w:r>
          <w:r>
            <w:fldChar w:fldCharType="begin"/>
          </w:r>
          <w:r>
            <w:instrText xml:space="preserve"> PAGEREF _Toc31725 \h </w:instrText>
          </w:r>
          <w:r>
            <w:fldChar w:fldCharType="separate"/>
          </w:r>
          <w:r>
            <w:t>13</w:t>
          </w:r>
          <w:r>
            <w:fldChar w:fldCharType="end"/>
          </w:r>
          <w:r>
            <w:fldChar w:fldCharType="end"/>
          </w:r>
        </w:p>
        <w:p>
          <w:pPr>
            <w:pStyle w:val="26"/>
            <w:tabs>
              <w:tab w:val="right" w:leader="dot" w:pos="9581"/>
            </w:tabs>
          </w:pPr>
          <w:r>
            <w:fldChar w:fldCharType="begin"/>
          </w:r>
          <w:r>
            <w:instrText xml:space="preserve"> HYPERLINK \l _Toc31048 </w:instrText>
          </w:r>
          <w:r>
            <w:fldChar w:fldCharType="separate"/>
          </w:r>
          <w:r>
            <w:rPr>
              <w:rFonts w:ascii="宋体" w:hAnsi="宋体"/>
              <w:szCs w:val="24"/>
            </w:rPr>
            <w:t>五、磋商与评审</w:t>
          </w:r>
          <w:r>
            <w:tab/>
          </w:r>
          <w:r>
            <w:fldChar w:fldCharType="begin"/>
          </w:r>
          <w:r>
            <w:instrText xml:space="preserve"> PAGEREF _Toc31048 \h </w:instrText>
          </w:r>
          <w:r>
            <w:fldChar w:fldCharType="separate"/>
          </w:r>
          <w:r>
            <w:t>13</w:t>
          </w:r>
          <w:r>
            <w:fldChar w:fldCharType="end"/>
          </w:r>
          <w:r>
            <w:fldChar w:fldCharType="end"/>
          </w:r>
        </w:p>
        <w:p>
          <w:pPr>
            <w:pStyle w:val="14"/>
            <w:tabs>
              <w:tab w:val="right" w:leader="dot" w:pos="9581"/>
              <w:tab w:val="clear" w:pos="9515"/>
            </w:tabs>
          </w:pPr>
          <w:r>
            <w:fldChar w:fldCharType="begin"/>
          </w:r>
          <w:r>
            <w:instrText xml:space="preserve"> HYPERLINK \l _Toc2450 </w:instrText>
          </w:r>
          <w:r>
            <w:fldChar w:fldCharType="separate"/>
          </w:r>
          <w:r>
            <w:rPr>
              <w:rFonts w:hint="eastAsia" w:hAnsi="宋体"/>
              <w:szCs w:val="24"/>
            </w:rPr>
            <w:t>16. 响应文件的解密</w:t>
          </w:r>
          <w:r>
            <w:tab/>
          </w:r>
          <w:r>
            <w:fldChar w:fldCharType="begin"/>
          </w:r>
          <w:r>
            <w:instrText xml:space="preserve"> PAGEREF _Toc2450 \h </w:instrText>
          </w:r>
          <w:r>
            <w:fldChar w:fldCharType="separate"/>
          </w:r>
          <w:r>
            <w:t>13</w:t>
          </w:r>
          <w:r>
            <w:fldChar w:fldCharType="end"/>
          </w:r>
          <w:r>
            <w:fldChar w:fldCharType="end"/>
          </w:r>
        </w:p>
        <w:p>
          <w:pPr>
            <w:pStyle w:val="14"/>
            <w:tabs>
              <w:tab w:val="right" w:leader="dot" w:pos="9581"/>
              <w:tab w:val="clear" w:pos="9515"/>
            </w:tabs>
          </w:pPr>
          <w:r>
            <w:fldChar w:fldCharType="begin"/>
          </w:r>
          <w:r>
            <w:instrText xml:space="preserve"> HYPERLINK \l _Toc29585 </w:instrText>
          </w:r>
          <w:r>
            <w:fldChar w:fldCharType="separate"/>
          </w:r>
          <w:r>
            <w:rPr>
              <w:rFonts w:hAnsi="宋体"/>
              <w:szCs w:val="24"/>
            </w:rPr>
            <w:t>17. 磋商</w:t>
          </w:r>
          <w:r>
            <w:tab/>
          </w:r>
          <w:r>
            <w:fldChar w:fldCharType="begin"/>
          </w:r>
          <w:r>
            <w:instrText xml:space="preserve"> PAGEREF _Toc29585 \h </w:instrText>
          </w:r>
          <w:r>
            <w:fldChar w:fldCharType="separate"/>
          </w:r>
          <w:r>
            <w:t>13</w:t>
          </w:r>
          <w:r>
            <w:fldChar w:fldCharType="end"/>
          </w:r>
          <w:r>
            <w:fldChar w:fldCharType="end"/>
          </w:r>
        </w:p>
        <w:p>
          <w:pPr>
            <w:pStyle w:val="14"/>
            <w:tabs>
              <w:tab w:val="right" w:leader="dot" w:pos="9581"/>
              <w:tab w:val="clear" w:pos="9515"/>
            </w:tabs>
          </w:pPr>
          <w:r>
            <w:fldChar w:fldCharType="begin"/>
          </w:r>
          <w:r>
            <w:instrText xml:space="preserve"> HYPERLINK \l _Toc2355 </w:instrText>
          </w:r>
          <w:r>
            <w:fldChar w:fldCharType="separate"/>
          </w:r>
          <w:r>
            <w:rPr>
              <w:rFonts w:hAnsi="宋体"/>
              <w:szCs w:val="24"/>
            </w:rPr>
            <w:t>18. 评审</w:t>
          </w:r>
          <w:r>
            <w:tab/>
          </w:r>
          <w:r>
            <w:fldChar w:fldCharType="begin"/>
          </w:r>
          <w:r>
            <w:instrText xml:space="preserve"> PAGEREF _Toc2355 \h </w:instrText>
          </w:r>
          <w:r>
            <w:fldChar w:fldCharType="separate"/>
          </w:r>
          <w:r>
            <w:t>13</w:t>
          </w:r>
          <w:r>
            <w:fldChar w:fldCharType="end"/>
          </w:r>
          <w:r>
            <w:fldChar w:fldCharType="end"/>
          </w:r>
        </w:p>
        <w:p>
          <w:pPr>
            <w:pStyle w:val="14"/>
            <w:tabs>
              <w:tab w:val="right" w:leader="dot" w:pos="9581"/>
              <w:tab w:val="clear" w:pos="9515"/>
            </w:tabs>
          </w:pPr>
          <w:r>
            <w:fldChar w:fldCharType="begin"/>
          </w:r>
          <w:r>
            <w:instrText xml:space="preserve"> HYPERLINK \l _Toc8418 </w:instrText>
          </w:r>
          <w:r>
            <w:fldChar w:fldCharType="separate"/>
          </w:r>
          <w:r>
            <w:rPr>
              <w:rFonts w:hAnsi="宋体"/>
              <w:szCs w:val="24"/>
            </w:rPr>
            <w:t>19. 评审过程的保密</w:t>
          </w:r>
          <w:r>
            <w:tab/>
          </w:r>
          <w:r>
            <w:fldChar w:fldCharType="begin"/>
          </w:r>
          <w:r>
            <w:instrText xml:space="preserve"> PAGEREF _Toc8418 \h </w:instrText>
          </w:r>
          <w:r>
            <w:fldChar w:fldCharType="separate"/>
          </w:r>
          <w:r>
            <w:t>14</w:t>
          </w:r>
          <w:r>
            <w:fldChar w:fldCharType="end"/>
          </w:r>
          <w:r>
            <w:fldChar w:fldCharType="end"/>
          </w:r>
        </w:p>
        <w:p>
          <w:pPr>
            <w:pStyle w:val="14"/>
            <w:tabs>
              <w:tab w:val="right" w:leader="dot" w:pos="9581"/>
              <w:tab w:val="clear" w:pos="9515"/>
            </w:tabs>
          </w:pPr>
          <w:r>
            <w:fldChar w:fldCharType="begin"/>
          </w:r>
          <w:r>
            <w:instrText xml:space="preserve"> HYPERLINK \l _Toc5570 </w:instrText>
          </w:r>
          <w:r>
            <w:fldChar w:fldCharType="separate"/>
          </w:r>
          <w:r>
            <w:rPr>
              <w:rFonts w:hAnsi="宋体"/>
              <w:szCs w:val="24"/>
            </w:rPr>
            <w:t xml:space="preserve">20. </w:t>
          </w:r>
          <w:r>
            <w:rPr>
              <w:rFonts w:hint="eastAsia" w:hAnsi="宋体"/>
              <w:szCs w:val="24"/>
            </w:rPr>
            <w:t>供应商存在下列情况之一的，响应文件无效：</w:t>
          </w:r>
          <w:r>
            <w:tab/>
          </w:r>
          <w:r>
            <w:fldChar w:fldCharType="begin"/>
          </w:r>
          <w:r>
            <w:instrText xml:space="preserve"> PAGEREF _Toc5570 \h </w:instrText>
          </w:r>
          <w:r>
            <w:fldChar w:fldCharType="separate"/>
          </w:r>
          <w:r>
            <w:t>14</w:t>
          </w:r>
          <w:r>
            <w:fldChar w:fldCharType="end"/>
          </w:r>
          <w:r>
            <w:fldChar w:fldCharType="end"/>
          </w:r>
        </w:p>
        <w:p>
          <w:pPr>
            <w:pStyle w:val="14"/>
            <w:tabs>
              <w:tab w:val="right" w:leader="dot" w:pos="9581"/>
              <w:tab w:val="clear" w:pos="9515"/>
            </w:tabs>
          </w:pPr>
          <w:r>
            <w:fldChar w:fldCharType="begin"/>
          </w:r>
          <w:r>
            <w:instrText xml:space="preserve"> HYPERLINK \l _Toc29255 </w:instrText>
          </w:r>
          <w:r>
            <w:fldChar w:fldCharType="separate"/>
          </w:r>
          <w:r>
            <w:rPr>
              <w:rFonts w:hint="eastAsia" w:hAnsi="宋体"/>
              <w:szCs w:val="24"/>
            </w:rPr>
            <w:t>21. 有下列情形之一的，视为供应商串通投标，其响应文件无效：</w:t>
          </w:r>
          <w:r>
            <w:tab/>
          </w:r>
          <w:r>
            <w:fldChar w:fldCharType="begin"/>
          </w:r>
          <w:r>
            <w:instrText xml:space="preserve"> PAGEREF _Toc29255 \h </w:instrText>
          </w:r>
          <w:r>
            <w:fldChar w:fldCharType="separate"/>
          </w:r>
          <w:r>
            <w:t>14</w:t>
          </w:r>
          <w:r>
            <w:fldChar w:fldCharType="end"/>
          </w:r>
          <w:r>
            <w:fldChar w:fldCharType="end"/>
          </w:r>
        </w:p>
        <w:p>
          <w:pPr>
            <w:pStyle w:val="14"/>
            <w:tabs>
              <w:tab w:val="right" w:leader="dot" w:pos="9581"/>
              <w:tab w:val="clear" w:pos="9515"/>
            </w:tabs>
          </w:pPr>
          <w:r>
            <w:fldChar w:fldCharType="begin"/>
          </w:r>
          <w:r>
            <w:instrText xml:space="preserve"> HYPERLINK \l _Toc7807 </w:instrText>
          </w:r>
          <w:r>
            <w:fldChar w:fldCharType="separate"/>
          </w:r>
          <w:r>
            <w:rPr>
              <w:rFonts w:hint="eastAsia" w:hAnsi="宋体"/>
              <w:szCs w:val="24"/>
            </w:rPr>
            <w:t xml:space="preserve">22. </w:t>
          </w:r>
          <w:r>
            <w:rPr>
              <w:rFonts w:hAnsi="宋体"/>
              <w:szCs w:val="24"/>
            </w:rPr>
            <w:t>出现下列情形之一的，</w:t>
          </w:r>
          <w:r>
            <w:rPr>
              <w:rFonts w:hint="eastAsia" w:hAnsi="宋体"/>
              <w:szCs w:val="24"/>
            </w:rPr>
            <w:t>项目</w:t>
          </w:r>
          <w:r>
            <w:rPr>
              <w:rFonts w:hAnsi="宋体"/>
              <w:szCs w:val="24"/>
            </w:rPr>
            <w:t>终止：</w:t>
          </w:r>
          <w:r>
            <w:tab/>
          </w:r>
          <w:r>
            <w:fldChar w:fldCharType="begin"/>
          </w:r>
          <w:r>
            <w:instrText xml:space="preserve"> PAGEREF _Toc7807 \h </w:instrText>
          </w:r>
          <w:r>
            <w:fldChar w:fldCharType="separate"/>
          </w:r>
          <w:r>
            <w:t>14</w:t>
          </w:r>
          <w:r>
            <w:fldChar w:fldCharType="end"/>
          </w:r>
          <w:r>
            <w:fldChar w:fldCharType="end"/>
          </w:r>
        </w:p>
        <w:p>
          <w:pPr>
            <w:pStyle w:val="26"/>
            <w:tabs>
              <w:tab w:val="right" w:leader="dot" w:pos="9581"/>
            </w:tabs>
          </w:pPr>
          <w:r>
            <w:fldChar w:fldCharType="begin"/>
          </w:r>
          <w:r>
            <w:instrText xml:space="preserve"> HYPERLINK \l _Toc15088 </w:instrText>
          </w:r>
          <w:r>
            <w:fldChar w:fldCharType="separate"/>
          </w:r>
          <w:r>
            <w:rPr>
              <w:rFonts w:ascii="宋体" w:hAnsi="宋体"/>
              <w:szCs w:val="24"/>
            </w:rPr>
            <w:t>六、成交结果</w:t>
          </w:r>
          <w:r>
            <w:tab/>
          </w:r>
          <w:r>
            <w:fldChar w:fldCharType="begin"/>
          </w:r>
          <w:r>
            <w:instrText xml:space="preserve"> PAGEREF _Toc15088 \h </w:instrText>
          </w:r>
          <w:r>
            <w:fldChar w:fldCharType="separate"/>
          </w:r>
          <w:r>
            <w:t>15</w:t>
          </w:r>
          <w:r>
            <w:fldChar w:fldCharType="end"/>
          </w:r>
          <w:r>
            <w:fldChar w:fldCharType="end"/>
          </w:r>
        </w:p>
        <w:p>
          <w:pPr>
            <w:pStyle w:val="14"/>
            <w:tabs>
              <w:tab w:val="right" w:leader="dot" w:pos="9581"/>
              <w:tab w:val="clear" w:pos="9515"/>
            </w:tabs>
          </w:pPr>
          <w:r>
            <w:fldChar w:fldCharType="begin"/>
          </w:r>
          <w:r>
            <w:instrText xml:space="preserve"> HYPERLINK \l _Toc3835 </w:instrText>
          </w:r>
          <w:r>
            <w:fldChar w:fldCharType="separate"/>
          </w:r>
          <w:r>
            <w:rPr>
              <w:rFonts w:hint="eastAsia" w:hAnsi="宋体"/>
              <w:szCs w:val="24"/>
            </w:rPr>
            <w:t xml:space="preserve">23. </w:t>
          </w:r>
          <w:r>
            <w:rPr>
              <w:rFonts w:hAnsi="宋体"/>
              <w:szCs w:val="24"/>
            </w:rPr>
            <w:t>成交</w:t>
          </w:r>
          <w:r>
            <w:rPr>
              <w:rFonts w:hint="eastAsia" w:hAnsi="宋体"/>
              <w:szCs w:val="24"/>
            </w:rPr>
            <w:t>供应商</w:t>
          </w:r>
          <w:r>
            <w:rPr>
              <w:rFonts w:hAnsi="宋体"/>
              <w:szCs w:val="24"/>
            </w:rPr>
            <w:t>的确定</w:t>
          </w:r>
          <w:r>
            <w:tab/>
          </w:r>
          <w:r>
            <w:fldChar w:fldCharType="begin"/>
          </w:r>
          <w:r>
            <w:instrText xml:space="preserve"> PAGEREF _Toc3835 \h </w:instrText>
          </w:r>
          <w:r>
            <w:fldChar w:fldCharType="separate"/>
          </w:r>
          <w:r>
            <w:t>15</w:t>
          </w:r>
          <w:r>
            <w:fldChar w:fldCharType="end"/>
          </w:r>
          <w:r>
            <w:fldChar w:fldCharType="end"/>
          </w:r>
        </w:p>
        <w:p>
          <w:pPr>
            <w:pStyle w:val="14"/>
            <w:tabs>
              <w:tab w:val="right" w:leader="dot" w:pos="9581"/>
              <w:tab w:val="clear" w:pos="9515"/>
            </w:tabs>
          </w:pPr>
          <w:r>
            <w:fldChar w:fldCharType="begin"/>
          </w:r>
          <w:r>
            <w:instrText xml:space="preserve"> HYPERLINK \l _Toc12465 </w:instrText>
          </w:r>
          <w:r>
            <w:fldChar w:fldCharType="separate"/>
          </w:r>
          <w:r>
            <w:rPr>
              <w:rFonts w:hint="eastAsia" w:hAnsi="宋体"/>
              <w:szCs w:val="24"/>
            </w:rPr>
            <w:t xml:space="preserve">24. </w:t>
          </w:r>
          <w:r>
            <w:rPr>
              <w:rFonts w:hAnsi="宋体"/>
              <w:szCs w:val="24"/>
            </w:rPr>
            <w:t>成交通知书</w:t>
          </w:r>
          <w:r>
            <w:tab/>
          </w:r>
          <w:r>
            <w:fldChar w:fldCharType="begin"/>
          </w:r>
          <w:r>
            <w:instrText xml:space="preserve"> PAGEREF _Toc12465 \h </w:instrText>
          </w:r>
          <w:r>
            <w:fldChar w:fldCharType="separate"/>
          </w:r>
          <w:r>
            <w:t>15</w:t>
          </w:r>
          <w:r>
            <w:fldChar w:fldCharType="end"/>
          </w:r>
          <w:r>
            <w:fldChar w:fldCharType="end"/>
          </w:r>
        </w:p>
        <w:p>
          <w:pPr>
            <w:pStyle w:val="14"/>
            <w:tabs>
              <w:tab w:val="right" w:leader="dot" w:pos="9581"/>
              <w:tab w:val="clear" w:pos="9515"/>
            </w:tabs>
          </w:pPr>
          <w:r>
            <w:fldChar w:fldCharType="begin"/>
          </w:r>
          <w:r>
            <w:instrText xml:space="preserve"> HYPERLINK \l _Toc25660 </w:instrText>
          </w:r>
          <w:r>
            <w:fldChar w:fldCharType="separate"/>
          </w:r>
          <w:r>
            <w:rPr>
              <w:rFonts w:hint="eastAsia" w:hAnsi="宋体"/>
              <w:szCs w:val="24"/>
            </w:rPr>
            <w:t xml:space="preserve">25. </w:t>
          </w:r>
          <w:r>
            <w:rPr>
              <w:rFonts w:hAnsi="宋体"/>
              <w:szCs w:val="24"/>
            </w:rPr>
            <w:t>签订合同</w:t>
          </w:r>
          <w:r>
            <w:tab/>
          </w:r>
          <w:r>
            <w:fldChar w:fldCharType="begin"/>
          </w:r>
          <w:r>
            <w:instrText xml:space="preserve"> PAGEREF _Toc25660 \h </w:instrText>
          </w:r>
          <w:r>
            <w:fldChar w:fldCharType="separate"/>
          </w:r>
          <w:r>
            <w:t>15</w:t>
          </w:r>
          <w:r>
            <w:fldChar w:fldCharType="end"/>
          </w:r>
          <w:r>
            <w:fldChar w:fldCharType="end"/>
          </w:r>
        </w:p>
        <w:p>
          <w:pPr>
            <w:pStyle w:val="14"/>
            <w:tabs>
              <w:tab w:val="right" w:leader="dot" w:pos="9581"/>
              <w:tab w:val="clear" w:pos="9515"/>
            </w:tabs>
          </w:pPr>
          <w:r>
            <w:fldChar w:fldCharType="begin"/>
          </w:r>
          <w:r>
            <w:instrText xml:space="preserve"> HYPERLINK \l _Toc26889 </w:instrText>
          </w:r>
          <w:r>
            <w:fldChar w:fldCharType="separate"/>
          </w:r>
          <w:r>
            <w:rPr>
              <w:rFonts w:hint="eastAsia" w:hAnsi="宋体"/>
              <w:szCs w:val="24"/>
            </w:rPr>
            <w:t>26. 履约保证金：</w:t>
          </w:r>
          <w:r>
            <w:tab/>
          </w:r>
          <w:r>
            <w:fldChar w:fldCharType="begin"/>
          </w:r>
          <w:r>
            <w:instrText xml:space="preserve"> PAGEREF _Toc26889 \h </w:instrText>
          </w:r>
          <w:r>
            <w:fldChar w:fldCharType="separate"/>
          </w:r>
          <w:r>
            <w:t>15</w:t>
          </w:r>
          <w:r>
            <w:fldChar w:fldCharType="end"/>
          </w:r>
          <w:r>
            <w:fldChar w:fldCharType="end"/>
          </w:r>
        </w:p>
        <w:p>
          <w:pPr>
            <w:pStyle w:val="26"/>
            <w:tabs>
              <w:tab w:val="right" w:leader="dot" w:pos="9581"/>
            </w:tabs>
          </w:pPr>
          <w:r>
            <w:fldChar w:fldCharType="begin"/>
          </w:r>
          <w:r>
            <w:instrText xml:space="preserve"> HYPERLINK \l _Toc10 </w:instrText>
          </w:r>
          <w:r>
            <w:fldChar w:fldCharType="separate"/>
          </w:r>
          <w:r>
            <w:rPr>
              <w:rFonts w:ascii="宋体" w:hAnsi="宋体"/>
              <w:szCs w:val="24"/>
            </w:rPr>
            <w:t>七、其他事项</w:t>
          </w:r>
          <w:r>
            <w:tab/>
          </w:r>
          <w:r>
            <w:fldChar w:fldCharType="begin"/>
          </w:r>
          <w:r>
            <w:instrText xml:space="preserve"> PAGEREF _Toc10 \h </w:instrText>
          </w:r>
          <w:r>
            <w:fldChar w:fldCharType="separate"/>
          </w:r>
          <w:r>
            <w:t>15</w:t>
          </w:r>
          <w:r>
            <w:fldChar w:fldCharType="end"/>
          </w:r>
          <w:r>
            <w:fldChar w:fldCharType="end"/>
          </w:r>
        </w:p>
        <w:p>
          <w:pPr>
            <w:pStyle w:val="14"/>
            <w:tabs>
              <w:tab w:val="right" w:leader="dot" w:pos="9581"/>
              <w:tab w:val="clear" w:pos="9515"/>
            </w:tabs>
          </w:pPr>
          <w:r>
            <w:fldChar w:fldCharType="begin"/>
          </w:r>
          <w:r>
            <w:instrText xml:space="preserve"> HYPERLINK \l _Toc32700 </w:instrText>
          </w:r>
          <w:r>
            <w:fldChar w:fldCharType="separate"/>
          </w:r>
          <w:r>
            <w:rPr>
              <w:rFonts w:hint="eastAsia" w:hAnsi="宋体"/>
              <w:szCs w:val="24"/>
            </w:rPr>
            <w:t xml:space="preserve">27. </w:t>
          </w:r>
          <w:r>
            <w:rPr>
              <w:rFonts w:hAnsi="宋体"/>
              <w:szCs w:val="24"/>
            </w:rPr>
            <w:t>质疑和投诉</w:t>
          </w:r>
          <w:r>
            <w:tab/>
          </w:r>
          <w:r>
            <w:fldChar w:fldCharType="begin"/>
          </w:r>
          <w:r>
            <w:instrText xml:space="preserve"> PAGEREF _Toc32700 \h </w:instrText>
          </w:r>
          <w:r>
            <w:fldChar w:fldCharType="separate"/>
          </w:r>
          <w:r>
            <w:t>15</w:t>
          </w:r>
          <w:r>
            <w:fldChar w:fldCharType="end"/>
          </w:r>
          <w:r>
            <w:fldChar w:fldCharType="end"/>
          </w:r>
        </w:p>
        <w:p>
          <w:pPr>
            <w:pStyle w:val="14"/>
            <w:tabs>
              <w:tab w:val="right" w:leader="dot" w:pos="9581"/>
              <w:tab w:val="clear" w:pos="9515"/>
            </w:tabs>
          </w:pPr>
          <w:r>
            <w:fldChar w:fldCharType="begin"/>
          </w:r>
          <w:r>
            <w:instrText xml:space="preserve"> HYPERLINK \l _Toc21428 </w:instrText>
          </w:r>
          <w:r>
            <w:fldChar w:fldCharType="separate"/>
          </w:r>
          <w:r>
            <w:rPr>
              <w:rFonts w:hAnsi="宋体"/>
              <w:szCs w:val="24"/>
            </w:rPr>
            <w:t>28. 采购代理服务费</w:t>
          </w:r>
          <w:r>
            <w:rPr>
              <w:rFonts w:hint="eastAsia" w:hAnsi="宋体"/>
              <w:szCs w:val="24"/>
            </w:rPr>
            <w:t>：无。</w:t>
          </w:r>
          <w:r>
            <w:tab/>
          </w:r>
          <w:r>
            <w:fldChar w:fldCharType="begin"/>
          </w:r>
          <w:r>
            <w:instrText xml:space="preserve"> PAGEREF _Toc21428 \h </w:instrText>
          </w:r>
          <w:r>
            <w:fldChar w:fldCharType="separate"/>
          </w:r>
          <w:r>
            <w:t>16</w:t>
          </w:r>
          <w:r>
            <w:fldChar w:fldCharType="end"/>
          </w:r>
          <w:r>
            <w:fldChar w:fldCharType="end"/>
          </w:r>
        </w:p>
        <w:p>
          <w:pPr>
            <w:pStyle w:val="14"/>
            <w:tabs>
              <w:tab w:val="right" w:leader="dot" w:pos="9581"/>
              <w:tab w:val="clear" w:pos="9515"/>
            </w:tabs>
          </w:pPr>
          <w:r>
            <w:fldChar w:fldCharType="begin"/>
          </w:r>
          <w:r>
            <w:instrText xml:space="preserve"> HYPERLINK \l _Toc15125 </w:instrText>
          </w:r>
          <w:r>
            <w:fldChar w:fldCharType="separate"/>
          </w:r>
          <w:r>
            <w:rPr>
              <w:rFonts w:hAnsi="宋体"/>
              <w:szCs w:val="24"/>
            </w:rPr>
            <w:t xml:space="preserve">29. </w:t>
          </w:r>
          <w:r>
            <w:rPr>
              <w:rFonts w:hint="eastAsia" w:hAnsi="宋体"/>
              <w:szCs w:val="24"/>
            </w:rPr>
            <w:t>实质性变动</w:t>
          </w:r>
          <w:r>
            <w:tab/>
          </w:r>
          <w:r>
            <w:fldChar w:fldCharType="begin"/>
          </w:r>
          <w:r>
            <w:instrText xml:space="preserve"> PAGEREF _Toc15125 \h </w:instrText>
          </w:r>
          <w:r>
            <w:fldChar w:fldCharType="separate"/>
          </w:r>
          <w:r>
            <w:t>16</w:t>
          </w:r>
          <w:r>
            <w:fldChar w:fldCharType="end"/>
          </w:r>
          <w:r>
            <w:fldChar w:fldCharType="end"/>
          </w:r>
        </w:p>
        <w:p>
          <w:pPr>
            <w:pStyle w:val="14"/>
            <w:tabs>
              <w:tab w:val="right" w:leader="dot" w:pos="9581"/>
              <w:tab w:val="clear" w:pos="9515"/>
            </w:tabs>
          </w:pPr>
          <w:r>
            <w:fldChar w:fldCharType="begin"/>
          </w:r>
          <w:r>
            <w:instrText xml:space="preserve"> HYPERLINK \l _Toc1473 </w:instrText>
          </w:r>
          <w:r>
            <w:fldChar w:fldCharType="separate"/>
          </w:r>
          <w:r>
            <w:rPr>
              <w:rFonts w:hAnsi="宋体"/>
              <w:szCs w:val="24"/>
            </w:rPr>
            <w:t>30. 需要补充的其他内容</w:t>
          </w:r>
          <w:r>
            <w:tab/>
          </w:r>
          <w:r>
            <w:fldChar w:fldCharType="begin"/>
          </w:r>
          <w:r>
            <w:instrText xml:space="preserve"> PAGEREF _Toc1473 \h </w:instrText>
          </w:r>
          <w:r>
            <w:fldChar w:fldCharType="separate"/>
          </w:r>
          <w:r>
            <w:t>16</w:t>
          </w:r>
          <w:r>
            <w:fldChar w:fldCharType="end"/>
          </w:r>
          <w:r>
            <w:fldChar w:fldCharType="end"/>
          </w:r>
        </w:p>
        <w:p>
          <w:pPr>
            <w:pStyle w:val="14"/>
            <w:tabs>
              <w:tab w:val="right" w:leader="dot" w:pos="9581"/>
              <w:tab w:val="clear" w:pos="9515"/>
            </w:tabs>
          </w:pPr>
          <w:r>
            <w:fldChar w:fldCharType="begin"/>
          </w:r>
          <w:r>
            <w:instrText xml:space="preserve"> HYPERLINK \l _Toc25408 </w:instrText>
          </w:r>
          <w:r>
            <w:fldChar w:fldCharType="separate"/>
          </w:r>
          <w:r>
            <w:rPr>
              <w:rFonts w:ascii="Times New Roman"/>
              <w:szCs w:val="24"/>
            </w:rPr>
            <w:t>31. 解释权</w:t>
          </w:r>
          <w:r>
            <w:tab/>
          </w:r>
          <w:r>
            <w:fldChar w:fldCharType="begin"/>
          </w:r>
          <w:r>
            <w:instrText xml:space="preserve"> PAGEREF _Toc25408 \h </w:instrText>
          </w:r>
          <w:r>
            <w:fldChar w:fldCharType="separate"/>
          </w:r>
          <w:r>
            <w:t>17</w:t>
          </w:r>
          <w:r>
            <w:fldChar w:fldCharType="end"/>
          </w:r>
          <w:r>
            <w:fldChar w:fldCharType="end"/>
          </w:r>
        </w:p>
        <w:p>
          <w:pPr>
            <w:pStyle w:val="26"/>
            <w:tabs>
              <w:tab w:val="right" w:leader="dot" w:pos="9581"/>
            </w:tabs>
          </w:pPr>
          <w:r>
            <w:fldChar w:fldCharType="begin"/>
          </w:r>
          <w:r>
            <w:instrText xml:space="preserve"> HYPERLINK \l _Toc4718 </w:instrText>
          </w:r>
          <w:r>
            <w:fldChar w:fldCharType="separate"/>
          </w:r>
          <w:r>
            <w:rPr>
              <w:rFonts w:hint="eastAsia" w:ascii="Times New Roman" w:hAnsi="Times New Roman"/>
              <w:szCs w:val="28"/>
            </w:rPr>
            <w:t>八、附件</w:t>
          </w:r>
          <w:r>
            <w:tab/>
          </w:r>
          <w:r>
            <w:fldChar w:fldCharType="begin"/>
          </w:r>
          <w:r>
            <w:instrText xml:space="preserve"> PAGEREF _Toc4718 \h </w:instrText>
          </w:r>
          <w:r>
            <w:fldChar w:fldCharType="separate"/>
          </w:r>
          <w:r>
            <w:t>18</w:t>
          </w:r>
          <w:r>
            <w:fldChar w:fldCharType="end"/>
          </w:r>
          <w:r>
            <w:fldChar w:fldCharType="end"/>
          </w:r>
        </w:p>
        <w:p>
          <w:pPr>
            <w:pStyle w:val="22"/>
            <w:tabs>
              <w:tab w:val="right" w:leader="dot" w:pos="9581"/>
            </w:tabs>
          </w:pPr>
          <w:r>
            <w:fldChar w:fldCharType="begin"/>
          </w:r>
          <w:r>
            <w:instrText xml:space="preserve"> HYPERLINK \l _Toc27992 </w:instrText>
          </w:r>
          <w:r>
            <w:fldChar w:fldCharType="separate"/>
          </w:r>
          <w:r>
            <w:rPr>
              <w:rFonts w:ascii="宋体" w:hAnsi="宋体" w:eastAsia="宋体"/>
            </w:rPr>
            <w:t>第三章  合同书样式及主要条款</w:t>
          </w:r>
          <w:r>
            <w:tab/>
          </w:r>
          <w:r>
            <w:fldChar w:fldCharType="begin"/>
          </w:r>
          <w:r>
            <w:instrText xml:space="preserve"> PAGEREF _Toc27992 \h </w:instrText>
          </w:r>
          <w:r>
            <w:fldChar w:fldCharType="separate"/>
          </w:r>
          <w:r>
            <w:t>20</w:t>
          </w:r>
          <w:r>
            <w:fldChar w:fldCharType="end"/>
          </w:r>
          <w:r>
            <w:fldChar w:fldCharType="end"/>
          </w:r>
        </w:p>
        <w:p>
          <w:pPr>
            <w:pStyle w:val="26"/>
            <w:tabs>
              <w:tab w:val="right" w:leader="dot" w:pos="9581"/>
            </w:tabs>
          </w:pPr>
          <w:r>
            <w:fldChar w:fldCharType="begin"/>
          </w:r>
          <w:r>
            <w:instrText xml:space="preserve"> HYPERLINK \l _Toc9453 </w:instrText>
          </w:r>
          <w:r>
            <w:fldChar w:fldCharType="separate"/>
          </w:r>
          <w:r>
            <w:rPr>
              <w:rFonts w:ascii="宋体" w:hAnsi="宋体"/>
              <w:szCs w:val="28"/>
            </w:rPr>
            <w:t>合同条款前附表</w:t>
          </w:r>
          <w:r>
            <w:tab/>
          </w:r>
          <w:r>
            <w:fldChar w:fldCharType="begin"/>
          </w:r>
          <w:r>
            <w:instrText xml:space="preserve"> PAGEREF _Toc9453 \h </w:instrText>
          </w:r>
          <w:r>
            <w:fldChar w:fldCharType="separate"/>
          </w:r>
          <w:r>
            <w:t>20</w:t>
          </w:r>
          <w:r>
            <w:fldChar w:fldCharType="end"/>
          </w:r>
          <w:r>
            <w:fldChar w:fldCharType="end"/>
          </w:r>
        </w:p>
        <w:p>
          <w:pPr>
            <w:pStyle w:val="26"/>
            <w:tabs>
              <w:tab w:val="right" w:leader="dot" w:pos="9581"/>
            </w:tabs>
          </w:pPr>
          <w:r>
            <w:fldChar w:fldCharType="begin"/>
          </w:r>
          <w:r>
            <w:instrText xml:space="preserve"> HYPERLINK \l _Toc24615 </w:instrText>
          </w:r>
          <w:r>
            <w:fldChar w:fldCharType="separate"/>
          </w:r>
          <w:r>
            <w:rPr>
              <w:rFonts w:ascii="Times New Roman" w:hAnsi="Times New Roman"/>
              <w:szCs w:val="28"/>
            </w:rPr>
            <w:t>云南省省级政府集中采购（</w:t>
          </w:r>
          <w:r>
            <w:rPr>
              <w:rFonts w:hint="eastAsia" w:ascii="Times New Roman" w:hAnsi="Times New Roman"/>
              <w:szCs w:val="28"/>
            </w:rPr>
            <w:t>服务类</w:t>
          </w:r>
          <w:r>
            <w:rPr>
              <w:rFonts w:ascii="Times New Roman" w:hAnsi="Times New Roman"/>
              <w:szCs w:val="28"/>
            </w:rPr>
            <w:t>）合同书（格式）</w:t>
          </w:r>
          <w:r>
            <w:tab/>
          </w:r>
          <w:r>
            <w:fldChar w:fldCharType="begin"/>
          </w:r>
          <w:r>
            <w:instrText xml:space="preserve"> PAGEREF _Toc24615 \h </w:instrText>
          </w:r>
          <w:r>
            <w:fldChar w:fldCharType="separate"/>
          </w:r>
          <w:r>
            <w:t>20</w:t>
          </w:r>
          <w:r>
            <w:fldChar w:fldCharType="end"/>
          </w:r>
          <w:r>
            <w:fldChar w:fldCharType="end"/>
          </w:r>
        </w:p>
        <w:p>
          <w:pPr>
            <w:pStyle w:val="22"/>
            <w:tabs>
              <w:tab w:val="right" w:leader="dot" w:pos="9581"/>
            </w:tabs>
          </w:pPr>
          <w:r>
            <w:fldChar w:fldCharType="begin"/>
          </w:r>
          <w:r>
            <w:instrText xml:space="preserve"> HYPERLINK \l _Toc6074 </w:instrText>
          </w:r>
          <w:r>
            <w:fldChar w:fldCharType="separate"/>
          </w:r>
          <w:r>
            <w:rPr>
              <w:rFonts w:ascii="宋体" w:hAnsi="宋体"/>
              <w:bCs/>
            </w:rPr>
            <w:t>第四章  响应文件格式</w:t>
          </w:r>
          <w:r>
            <w:tab/>
          </w:r>
          <w:r>
            <w:fldChar w:fldCharType="begin"/>
          </w:r>
          <w:r>
            <w:instrText xml:space="preserve"> PAGEREF _Toc6074 \h </w:instrText>
          </w:r>
          <w:r>
            <w:fldChar w:fldCharType="separate"/>
          </w:r>
          <w:r>
            <w:t>27</w:t>
          </w:r>
          <w:r>
            <w:fldChar w:fldCharType="end"/>
          </w:r>
          <w:r>
            <w:fldChar w:fldCharType="end"/>
          </w:r>
        </w:p>
        <w:p>
          <w:pPr>
            <w:pStyle w:val="26"/>
            <w:tabs>
              <w:tab w:val="right" w:leader="dot" w:pos="9581"/>
            </w:tabs>
          </w:pPr>
          <w:r>
            <w:fldChar w:fldCharType="begin"/>
          </w:r>
          <w:r>
            <w:instrText xml:space="preserve"> HYPERLINK \l _Toc18348 </w:instrText>
          </w:r>
          <w:r>
            <w:fldChar w:fldCharType="separate"/>
          </w:r>
          <w:r>
            <w:rPr>
              <w:rFonts w:hint="eastAsia" w:ascii="宋体" w:hAnsi="宋体"/>
              <w:bCs w:val="0"/>
              <w:szCs w:val="28"/>
            </w:rPr>
            <w:t xml:space="preserve">格式1 </w:t>
          </w:r>
          <w:r>
            <w:rPr>
              <w:rFonts w:ascii="宋体" w:hAnsi="宋体"/>
              <w:bCs w:val="0"/>
              <w:szCs w:val="28"/>
            </w:rPr>
            <w:t>磋商响应承诺书</w:t>
          </w:r>
          <w:r>
            <w:tab/>
          </w:r>
          <w:r>
            <w:fldChar w:fldCharType="begin"/>
          </w:r>
          <w:r>
            <w:instrText xml:space="preserve"> PAGEREF _Toc18348 \h </w:instrText>
          </w:r>
          <w:r>
            <w:fldChar w:fldCharType="separate"/>
          </w:r>
          <w:r>
            <w:t>28</w:t>
          </w:r>
          <w:r>
            <w:fldChar w:fldCharType="end"/>
          </w:r>
          <w:r>
            <w:fldChar w:fldCharType="end"/>
          </w:r>
        </w:p>
        <w:p>
          <w:pPr>
            <w:pStyle w:val="26"/>
            <w:tabs>
              <w:tab w:val="right" w:leader="dot" w:pos="9581"/>
            </w:tabs>
          </w:pPr>
          <w:r>
            <w:fldChar w:fldCharType="begin"/>
          </w:r>
          <w:r>
            <w:instrText xml:space="preserve"> HYPERLINK \l _Toc15496 </w:instrText>
          </w:r>
          <w:r>
            <w:fldChar w:fldCharType="separate"/>
          </w:r>
          <w:r>
            <w:rPr>
              <w:rFonts w:hint="eastAsia" w:ascii="宋体" w:hAnsi="宋体"/>
              <w:bCs w:val="0"/>
              <w:szCs w:val="28"/>
            </w:rPr>
            <w:t>格式2</w:t>
          </w:r>
          <w:r>
            <w:rPr>
              <w:rFonts w:hint="eastAsia" w:ascii="Times New Roman" w:hAnsi="Times New Roman"/>
              <w:bCs w:val="0"/>
            </w:rPr>
            <w:t>分项报价表</w:t>
          </w:r>
          <w:r>
            <w:tab/>
          </w:r>
          <w:r>
            <w:fldChar w:fldCharType="begin"/>
          </w:r>
          <w:r>
            <w:instrText xml:space="preserve"> PAGEREF _Toc15496 \h </w:instrText>
          </w:r>
          <w:r>
            <w:fldChar w:fldCharType="separate"/>
          </w:r>
          <w:r>
            <w:t>29</w:t>
          </w:r>
          <w:r>
            <w:fldChar w:fldCharType="end"/>
          </w:r>
          <w:r>
            <w:fldChar w:fldCharType="end"/>
          </w:r>
        </w:p>
        <w:p>
          <w:pPr>
            <w:pStyle w:val="26"/>
            <w:tabs>
              <w:tab w:val="right" w:leader="dot" w:pos="9581"/>
            </w:tabs>
          </w:pPr>
          <w:r>
            <w:fldChar w:fldCharType="begin"/>
          </w:r>
          <w:r>
            <w:instrText xml:space="preserve"> HYPERLINK \l _Toc30162 </w:instrText>
          </w:r>
          <w:r>
            <w:fldChar w:fldCharType="separate"/>
          </w:r>
          <w:r>
            <w:rPr>
              <w:rFonts w:hint="eastAsia" w:ascii="宋体" w:hAnsi="宋体"/>
              <w:bCs w:val="0"/>
            </w:rPr>
            <w:t>格式</w:t>
          </w:r>
          <w:r>
            <w:rPr>
              <w:rFonts w:ascii="宋体" w:hAnsi="宋体"/>
              <w:bCs w:val="0"/>
            </w:rPr>
            <w:t>3</w:t>
          </w:r>
          <w:r>
            <w:rPr>
              <w:rFonts w:hint="eastAsia" w:ascii="宋体" w:hAnsi="宋体"/>
              <w:bCs w:val="0"/>
            </w:rPr>
            <w:t>服务需求</w:t>
          </w:r>
          <w:r>
            <w:rPr>
              <w:rFonts w:ascii="宋体" w:hAnsi="宋体"/>
              <w:bCs w:val="0"/>
            </w:rPr>
            <w:t>偏离表</w:t>
          </w:r>
          <w:r>
            <w:tab/>
          </w:r>
          <w:r>
            <w:fldChar w:fldCharType="begin"/>
          </w:r>
          <w:r>
            <w:instrText xml:space="preserve"> PAGEREF _Toc30162 \h </w:instrText>
          </w:r>
          <w:r>
            <w:fldChar w:fldCharType="separate"/>
          </w:r>
          <w:r>
            <w:t>30</w:t>
          </w:r>
          <w:r>
            <w:fldChar w:fldCharType="end"/>
          </w:r>
          <w:r>
            <w:fldChar w:fldCharType="end"/>
          </w:r>
        </w:p>
        <w:p>
          <w:pPr>
            <w:pStyle w:val="26"/>
            <w:tabs>
              <w:tab w:val="right" w:leader="dot" w:pos="9581"/>
            </w:tabs>
          </w:pPr>
          <w:r>
            <w:fldChar w:fldCharType="begin"/>
          </w:r>
          <w:r>
            <w:instrText xml:space="preserve"> HYPERLINK \l _Toc20618 </w:instrText>
          </w:r>
          <w:r>
            <w:fldChar w:fldCharType="separate"/>
          </w:r>
          <w:r>
            <w:rPr>
              <w:rFonts w:hint="eastAsia" w:ascii="宋体" w:hAnsi="宋体"/>
              <w:bCs w:val="0"/>
            </w:rPr>
            <w:t xml:space="preserve">格式4 </w:t>
          </w:r>
          <w:r>
            <w:rPr>
              <w:rFonts w:ascii="宋体" w:hAnsi="宋体"/>
              <w:bCs w:val="0"/>
            </w:rPr>
            <w:t>商务条款偏离表</w:t>
          </w:r>
          <w:r>
            <w:tab/>
          </w:r>
          <w:r>
            <w:fldChar w:fldCharType="begin"/>
          </w:r>
          <w:r>
            <w:instrText xml:space="preserve"> PAGEREF _Toc20618 \h </w:instrText>
          </w:r>
          <w:r>
            <w:fldChar w:fldCharType="separate"/>
          </w:r>
          <w:r>
            <w:t>31</w:t>
          </w:r>
          <w:r>
            <w:fldChar w:fldCharType="end"/>
          </w:r>
          <w:r>
            <w:fldChar w:fldCharType="end"/>
          </w:r>
        </w:p>
        <w:p>
          <w:pPr>
            <w:pStyle w:val="26"/>
            <w:tabs>
              <w:tab w:val="right" w:leader="dot" w:pos="9581"/>
            </w:tabs>
          </w:pPr>
          <w:r>
            <w:fldChar w:fldCharType="begin"/>
          </w:r>
          <w:r>
            <w:instrText xml:space="preserve"> HYPERLINK \l _Toc525 </w:instrText>
          </w:r>
          <w:r>
            <w:fldChar w:fldCharType="separate"/>
          </w:r>
          <w:r>
            <w:rPr>
              <w:rFonts w:hint="eastAsia" w:ascii="宋体" w:hAnsi="宋体" w:cs="宋体"/>
              <w:szCs w:val="32"/>
            </w:rPr>
            <w:t>格式5 技术文件</w:t>
          </w:r>
          <w:r>
            <w:tab/>
          </w:r>
          <w:r>
            <w:fldChar w:fldCharType="begin"/>
          </w:r>
          <w:r>
            <w:instrText xml:space="preserve"> PAGEREF _Toc525 \h </w:instrText>
          </w:r>
          <w:r>
            <w:fldChar w:fldCharType="separate"/>
          </w:r>
          <w:r>
            <w:t>33</w:t>
          </w:r>
          <w:r>
            <w:fldChar w:fldCharType="end"/>
          </w:r>
          <w:r>
            <w:fldChar w:fldCharType="end"/>
          </w:r>
        </w:p>
        <w:p>
          <w:pPr>
            <w:pStyle w:val="26"/>
            <w:tabs>
              <w:tab w:val="right" w:leader="dot" w:pos="9581"/>
            </w:tabs>
          </w:pPr>
          <w:r>
            <w:fldChar w:fldCharType="begin"/>
          </w:r>
          <w:r>
            <w:instrText xml:space="preserve"> HYPERLINK \l _Toc26671 </w:instrText>
          </w:r>
          <w:r>
            <w:fldChar w:fldCharType="separate"/>
          </w:r>
          <w:r>
            <w:rPr>
              <w:bCs/>
            </w:rPr>
            <w:t>格式</w:t>
          </w:r>
          <w:r>
            <w:rPr>
              <w:rFonts w:hint="eastAsia"/>
              <w:bCs/>
            </w:rPr>
            <w:t>6 商务文件</w:t>
          </w:r>
          <w:r>
            <w:tab/>
          </w:r>
          <w:r>
            <w:fldChar w:fldCharType="begin"/>
          </w:r>
          <w:r>
            <w:instrText xml:space="preserve"> PAGEREF _Toc26671 \h </w:instrText>
          </w:r>
          <w:r>
            <w:fldChar w:fldCharType="separate"/>
          </w:r>
          <w:r>
            <w:t>39</w:t>
          </w:r>
          <w:r>
            <w:fldChar w:fldCharType="end"/>
          </w:r>
          <w:r>
            <w:fldChar w:fldCharType="end"/>
          </w:r>
        </w:p>
        <w:p>
          <w:pPr>
            <w:pStyle w:val="26"/>
            <w:tabs>
              <w:tab w:val="right" w:leader="dot" w:pos="9581"/>
            </w:tabs>
          </w:pPr>
          <w:r>
            <w:fldChar w:fldCharType="begin"/>
          </w:r>
          <w:r>
            <w:instrText xml:space="preserve"> HYPERLINK \l _Toc18104 </w:instrText>
          </w:r>
          <w:r>
            <w:fldChar w:fldCharType="separate"/>
          </w:r>
          <w:r>
            <w:rPr>
              <w:rFonts w:hint="eastAsia" w:asciiTheme="minorEastAsia" w:hAnsiTheme="minorEastAsia" w:eastAsiaTheme="minorEastAsia"/>
              <w:bCs w:val="0"/>
            </w:rPr>
            <w:t>★格式7资格证明文件</w:t>
          </w:r>
          <w:r>
            <w:tab/>
          </w:r>
          <w:r>
            <w:fldChar w:fldCharType="begin"/>
          </w:r>
          <w:r>
            <w:instrText xml:space="preserve"> PAGEREF _Toc18104 \h </w:instrText>
          </w:r>
          <w:r>
            <w:fldChar w:fldCharType="separate"/>
          </w:r>
          <w:r>
            <w:t>44</w:t>
          </w:r>
          <w:r>
            <w:fldChar w:fldCharType="end"/>
          </w:r>
          <w:r>
            <w:fldChar w:fldCharType="end"/>
          </w:r>
        </w:p>
        <w:p>
          <w:pPr>
            <w:pStyle w:val="26"/>
            <w:tabs>
              <w:tab w:val="right" w:leader="dot" w:pos="9581"/>
            </w:tabs>
          </w:pPr>
          <w:r>
            <w:fldChar w:fldCharType="begin"/>
          </w:r>
          <w:r>
            <w:instrText xml:space="preserve"> HYPERLINK \l _Toc13699 </w:instrText>
          </w:r>
          <w:r>
            <w:fldChar w:fldCharType="separate"/>
          </w:r>
          <w:r>
            <w:rPr>
              <w:rFonts w:hint="eastAsia" w:asciiTheme="minorEastAsia" w:hAnsiTheme="minorEastAsia" w:eastAsiaTheme="minorEastAsia"/>
              <w:bCs w:val="0"/>
            </w:rPr>
            <w:t>格式8</w:t>
          </w:r>
          <w:r>
            <w:rPr>
              <w:rFonts w:asciiTheme="minorEastAsia" w:hAnsiTheme="minorEastAsia" w:eastAsiaTheme="minorEastAsia"/>
              <w:bCs w:val="0"/>
            </w:rPr>
            <w:t>构成响应文件的其它资料</w:t>
          </w:r>
          <w:r>
            <w:tab/>
          </w:r>
          <w:r>
            <w:fldChar w:fldCharType="begin"/>
          </w:r>
          <w:r>
            <w:instrText xml:space="preserve"> PAGEREF _Toc13699 \h </w:instrText>
          </w:r>
          <w:r>
            <w:fldChar w:fldCharType="separate"/>
          </w:r>
          <w:r>
            <w:t>45</w:t>
          </w:r>
          <w:r>
            <w:fldChar w:fldCharType="end"/>
          </w:r>
          <w:r>
            <w:fldChar w:fldCharType="end"/>
          </w:r>
        </w:p>
        <w:p>
          <w:pPr>
            <w:pStyle w:val="22"/>
            <w:tabs>
              <w:tab w:val="right" w:leader="dot" w:pos="9581"/>
            </w:tabs>
          </w:pPr>
          <w:r>
            <w:fldChar w:fldCharType="begin"/>
          </w:r>
          <w:r>
            <w:instrText xml:space="preserve"> HYPERLINK \l _Toc21083 </w:instrText>
          </w:r>
          <w:r>
            <w:fldChar w:fldCharType="separate"/>
          </w:r>
          <w:r>
            <w:rPr>
              <w:rFonts w:ascii="宋体" w:hAnsi="宋体"/>
              <w:bCs/>
            </w:rPr>
            <w:t xml:space="preserve">第五章  </w:t>
          </w:r>
          <w:r>
            <w:rPr>
              <w:rFonts w:hint="eastAsia" w:ascii="宋体" w:hAnsi="宋体"/>
              <w:bCs/>
            </w:rPr>
            <w:t>服务需求</w:t>
          </w:r>
          <w:r>
            <w:tab/>
          </w:r>
          <w:r>
            <w:fldChar w:fldCharType="begin"/>
          </w:r>
          <w:r>
            <w:instrText xml:space="preserve"> PAGEREF _Toc21083 \h </w:instrText>
          </w:r>
          <w:r>
            <w:fldChar w:fldCharType="separate"/>
          </w:r>
          <w:r>
            <w:t>49</w:t>
          </w:r>
          <w:r>
            <w:fldChar w:fldCharType="end"/>
          </w:r>
          <w:r>
            <w:fldChar w:fldCharType="end"/>
          </w:r>
        </w:p>
        <w:p>
          <w:pPr>
            <w:pStyle w:val="26"/>
            <w:tabs>
              <w:tab w:val="right" w:leader="dot" w:pos="9581"/>
            </w:tabs>
          </w:pPr>
          <w:r>
            <w:fldChar w:fldCharType="begin"/>
          </w:r>
          <w:r>
            <w:instrText xml:space="preserve"> HYPERLINK \l _Toc26326 </w:instrText>
          </w:r>
          <w:r>
            <w:fldChar w:fldCharType="separate"/>
          </w:r>
          <w:r>
            <w:rPr>
              <w:rFonts w:hint="eastAsia" w:asciiTheme="minorEastAsia" w:hAnsiTheme="minorEastAsia" w:eastAsiaTheme="minorEastAsia" w:cstheme="minorEastAsia"/>
              <w:szCs w:val="21"/>
            </w:rPr>
            <w:t>功能需求：</w:t>
          </w:r>
          <w:r>
            <w:tab/>
          </w:r>
          <w:r>
            <w:fldChar w:fldCharType="begin"/>
          </w:r>
          <w:r>
            <w:instrText xml:space="preserve"> PAGEREF _Toc26326 \h </w:instrText>
          </w:r>
          <w:r>
            <w:fldChar w:fldCharType="separate"/>
          </w:r>
          <w:r>
            <w:t>55</w:t>
          </w:r>
          <w:r>
            <w:fldChar w:fldCharType="end"/>
          </w:r>
          <w:r>
            <w:fldChar w:fldCharType="end"/>
          </w:r>
        </w:p>
        <w:p>
          <w:pPr>
            <w:pStyle w:val="26"/>
            <w:tabs>
              <w:tab w:val="right" w:leader="dot" w:pos="9581"/>
            </w:tabs>
          </w:pPr>
          <w:r>
            <w:fldChar w:fldCharType="begin"/>
          </w:r>
          <w:r>
            <w:instrText xml:space="preserve"> HYPERLINK \l _Toc13392 </w:instrText>
          </w:r>
          <w:r>
            <w:fldChar w:fldCharType="separate"/>
          </w:r>
          <w:r>
            <w:rPr>
              <w:rFonts w:hint="eastAsia" w:asciiTheme="minorEastAsia" w:hAnsiTheme="minorEastAsia" w:eastAsiaTheme="minorEastAsia" w:cstheme="minorEastAsia"/>
              <w:bCs/>
              <w:szCs w:val="21"/>
            </w:rPr>
            <w:t>人员组成：</w:t>
          </w:r>
          <w:r>
            <w:tab/>
          </w:r>
          <w:r>
            <w:fldChar w:fldCharType="begin"/>
          </w:r>
          <w:r>
            <w:instrText xml:space="preserve"> PAGEREF _Toc13392 \h </w:instrText>
          </w:r>
          <w:r>
            <w:fldChar w:fldCharType="separate"/>
          </w:r>
          <w:r>
            <w:t>55</w:t>
          </w:r>
          <w:r>
            <w:fldChar w:fldCharType="end"/>
          </w:r>
          <w:r>
            <w:fldChar w:fldCharType="end"/>
          </w:r>
        </w:p>
        <w:p>
          <w:pPr>
            <w:pStyle w:val="26"/>
            <w:tabs>
              <w:tab w:val="right" w:leader="dot" w:pos="9581"/>
            </w:tabs>
          </w:pPr>
          <w:r>
            <w:fldChar w:fldCharType="begin"/>
          </w:r>
          <w:r>
            <w:instrText xml:space="preserve"> HYPERLINK \l _Toc1876 </w:instrText>
          </w:r>
          <w:r>
            <w:fldChar w:fldCharType="separate"/>
          </w:r>
          <w:r>
            <w:rPr>
              <w:rFonts w:hint="eastAsia" w:asciiTheme="minorEastAsia" w:hAnsiTheme="minorEastAsia" w:eastAsiaTheme="minorEastAsia" w:cstheme="minorEastAsia"/>
              <w:bCs/>
              <w:szCs w:val="21"/>
            </w:rPr>
            <w:t>服务质量要求：</w:t>
          </w:r>
          <w:r>
            <w:tab/>
          </w:r>
          <w:r>
            <w:fldChar w:fldCharType="begin"/>
          </w:r>
          <w:r>
            <w:instrText xml:space="preserve"> PAGEREF _Toc1876 \h </w:instrText>
          </w:r>
          <w:r>
            <w:fldChar w:fldCharType="separate"/>
          </w:r>
          <w:r>
            <w:t>56</w:t>
          </w:r>
          <w:r>
            <w:fldChar w:fldCharType="end"/>
          </w:r>
          <w:r>
            <w:fldChar w:fldCharType="end"/>
          </w:r>
        </w:p>
        <w:p>
          <w:pPr>
            <w:pStyle w:val="26"/>
            <w:tabs>
              <w:tab w:val="right" w:leader="dot" w:pos="9581"/>
            </w:tabs>
          </w:pPr>
          <w:r>
            <w:fldChar w:fldCharType="begin"/>
          </w:r>
          <w:r>
            <w:instrText xml:space="preserve"> HYPERLINK \l _Toc1884 </w:instrText>
          </w:r>
          <w:r>
            <w:fldChar w:fldCharType="separate"/>
          </w:r>
          <w:r>
            <w:rPr>
              <w:rFonts w:hint="eastAsia" w:asciiTheme="minorEastAsia" w:hAnsiTheme="minorEastAsia" w:eastAsiaTheme="minorEastAsia" w:cstheme="minorEastAsia"/>
              <w:bCs/>
              <w:szCs w:val="21"/>
            </w:rPr>
            <w:t>项目验收要求：</w:t>
          </w:r>
          <w:r>
            <w:tab/>
          </w:r>
          <w:r>
            <w:fldChar w:fldCharType="begin"/>
          </w:r>
          <w:r>
            <w:instrText xml:space="preserve"> PAGEREF _Toc1884 \h </w:instrText>
          </w:r>
          <w:r>
            <w:fldChar w:fldCharType="separate"/>
          </w:r>
          <w:r>
            <w:t>57</w:t>
          </w:r>
          <w:r>
            <w:fldChar w:fldCharType="end"/>
          </w:r>
          <w:r>
            <w:fldChar w:fldCharType="end"/>
          </w:r>
        </w:p>
        <w:p>
          <w:pPr>
            <w:pStyle w:val="22"/>
            <w:tabs>
              <w:tab w:val="right" w:leader="dot" w:pos="9581"/>
            </w:tabs>
          </w:pPr>
          <w:r>
            <w:fldChar w:fldCharType="begin"/>
          </w:r>
          <w:r>
            <w:instrText xml:space="preserve"> HYPERLINK \l _Toc29234 </w:instrText>
          </w:r>
          <w:r>
            <w:fldChar w:fldCharType="separate"/>
          </w:r>
          <w:r>
            <w:rPr>
              <w:rFonts w:ascii="宋体" w:hAnsi="宋体"/>
              <w:bCs/>
            </w:rPr>
            <w:t>第六章  评审</w:t>
          </w:r>
          <w:r>
            <w:tab/>
          </w:r>
          <w:r>
            <w:fldChar w:fldCharType="begin"/>
          </w:r>
          <w:r>
            <w:instrText xml:space="preserve"> PAGEREF _Toc29234 \h </w:instrText>
          </w:r>
          <w:r>
            <w:fldChar w:fldCharType="separate"/>
          </w:r>
          <w:r>
            <w:t>61</w:t>
          </w:r>
          <w:r>
            <w:fldChar w:fldCharType="end"/>
          </w:r>
          <w:r>
            <w:fldChar w:fldCharType="end"/>
          </w:r>
        </w:p>
        <w:p>
          <w:pPr>
            <w:pStyle w:val="26"/>
            <w:tabs>
              <w:tab w:val="right" w:leader="dot" w:pos="9581"/>
            </w:tabs>
          </w:pPr>
          <w:r>
            <w:fldChar w:fldCharType="begin"/>
          </w:r>
          <w:r>
            <w:instrText xml:space="preserve"> HYPERLINK \l _Toc21761 </w:instrText>
          </w:r>
          <w:r>
            <w:fldChar w:fldCharType="separate"/>
          </w:r>
          <w:r>
            <w:rPr>
              <w:rFonts w:hint="eastAsia" w:ascii="宋体" w:hAnsi="宋体"/>
              <w:szCs w:val="28"/>
            </w:rPr>
            <w:t>评审标准</w:t>
          </w:r>
          <w:r>
            <w:rPr>
              <w:rFonts w:ascii="宋体" w:hAnsi="宋体"/>
              <w:szCs w:val="28"/>
            </w:rPr>
            <w:t>前附表</w:t>
          </w:r>
          <w:r>
            <w:tab/>
          </w:r>
          <w:r>
            <w:fldChar w:fldCharType="begin"/>
          </w:r>
          <w:r>
            <w:instrText xml:space="preserve"> PAGEREF _Toc21761 \h </w:instrText>
          </w:r>
          <w:r>
            <w:fldChar w:fldCharType="separate"/>
          </w:r>
          <w:r>
            <w:t>61</w:t>
          </w:r>
          <w:r>
            <w:fldChar w:fldCharType="end"/>
          </w:r>
          <w:r>
            <w:fldChar w:fldCharType="end"/>
          </w:r>
        </w:p>
        <w:p>
          <w:pPr>
            <w:pStyle w:val="26"/>
            <w:tabs>
              <w:tab w:val="right" w:leader="dot" w:pos="9581"/>
            </w:tabs>
          </w:pPr>
          <w:r>
            <w:fldChar w:fldCharType="begin"/>
          </w:r>
          <w:r>
            <w:instrText xml:space="preserve"> HYPERLINK \l _Toc28567 </w:instrText>
          </w:r>
          <w:r>
            <w:fldChar w:fldCharType="separate"/>
          </w:r>
          <w:r>
            <w:rPr>
              <w:rFonts w:hint="eastAsia" w:ascii="黑体"/>
              <w:szCs w:val="24"/>
            </w:rPr>
            <w:t>1. 评审方法：</w:t>
          </w:r>
          <w:r>
            <w:tab/>
          </w:r>
          <w:r>
            <w:fldChar w:fldCharType="begin"/>
          </w:r>
          <w:r>
            <w:instrText xml:space="preserve"> PAGEREF _Toc28567 \h </w:instrText>
          </w:r>
          <w:r>
            <w:fldChar w:fldCharType="separate"/>
          </w:r>
          <w:r>
            <w:t>65</w:t>
          </w:r>
          <w:r>
            <w:fldChar w:fldCharType="end"/>
          </w:r>
          <w:r>
            <w:fldChar w:fldCharType="end"/>
          </w:r>
        </w:p>
        <w:p>
          <w:pPr>
            <w:pStyle w:val="26"/>
            <w:tabs>
              <w:tab w:val="right" w:leader="dot" w:pos="9581"/>
            </w:tabs>
          </w:pPr>
          <w:r>
            <w:fldChar w:fldCharType="begin"/>
          </w:r>
          <w:r>
            <w:instrText xml:space="preserve"> HYPERLINK \l _Toc21625 </w:instrText>
          </w:r>
          <w:r>
            <w:fldChar w:fldCharType="separate"/>
          </w:r>
          <w:r>
            <w:rPr>
              <w:rFonts w:hint="eastAsia" w:ascii="黑体"/>
              <w:szCs w:val="24"/>
            </w:rPr>
            <w:t>2. 评审标准</w:t>
          </w:r>
          <w:r>
            <w:tab/>
          </w:r>
          <w:r>
            <w:fldChar w:fldCharType="begin"/>
          </w:r>
          <w:r>
            <w:instrText xml:space="preserve"> PAGEREF _Toc21625 \h </w:instrText>
          </w:r>
          <w:r>
            <w:fldChar w:fldCharType="separate"/>
          </w:r>
          <w:r>
            <w:t>65</w:t>
          </w:r>
          <w:r>
            <w:fldChar w:fldCharType="end"/>
          </w:r>
          <w:r>
            <w:fldChar w:fldCharType="end"/>
          </w:r>
        </w:p>
        <w:p>
          <w:pPr>
            <w:pStyle w:val="26"/>
            <w:tabs>
              <w:tab w:val="right" w:leader="dot" w:pos="9581"/>
            </w:tabs>
          </w:pPr>
          <w:r>
            <w:fldChar w:fldCharType="begin"/>
          </w:r>
          <w:r>
            <w:instrText xml:space="preserve"> HYPERLINK \l _Toc12821 </w:instrText>
          </w:r>
          <w:r>
            <w:fldChar w:fldCharType="separate"/>
          </w:r>
          <w:r>
            <w:rPr>
              <w:rFonts w:hint="eastAsia" w:ascii="黑体"/>
              <w:szCs w:val="24"/>
            </w:rPr>
            <w:t>3. 评审程序</w:t>
          </w:r>
          <w:r>
            <w:tab/>
          </w:r>
          <w:r>
            <w:fldChar w:fldCharType="begin"/>
          </w:r>
          <w:r>
            <w:instrText xml:space="preserve"> PAGEREF _Toc12821 \h </w:instrText>
          </w:r>
          <w:r>
            <w:fldChar w:fldCharType="separate"/>
          </w:r>
          <w:r>
            <w:t>66</w:t>
          </w:r>
          <w:r>
            <w:fldChar w:fldCharType="end"/>
          </w:r>
          <w:r>
            <w:fldChar w:fldCharType="end"/>
          </w:r>
        </w:p>
        <w:p>
          <w:r>
            <w:fldChar w:fldCharType="end"/>
          </w:r>
        </w:p>
      </w:sdtContent>
    </w:sdt>
    <w:p>
      <w:pPr>
        <w:numPr>
          <w:ilvl w:val="0"/>
          <w:numId w:val="4"/>
        </w:numPr>
        <w:jc w:val="center"/>
        <w:outlineLvl w:val="0"/>
        <w:rPr>
          <w:rFonts w:ascii="宋体" w:hAnsi="宋体"/>
          <w:b/>
          <w:bCs/>
          <w:sz w:val="32"/>
        </w:rPr>
      </w:pPr>
      <w:r>
        <w:rPr>
          <w:rFonts w:ascii="宋体" w:hAnsi="宋体"/>
        </w:rPr>
        <w:br w:type="page"/>
      </w:r>
      <w:bookmarkStart w:id="0" w:name="_Toc30604"/>
      <w:bookmarkStart w:id="1" w:name="_Toc337822203"/>
      <w:bookmarkStart w:id="2" w:name="_Toc14577"/>
      <w:r>
        <w:rPr>
          <w:rFonts w:ascii="宋体" w:hAnsi="宋体"/>
          <w:b/>
          <w:bCs/>
          <w:sz w:val="32"/>
        </w:rPr>
        <w:t xml:space="preserve"> </w:t>
      </w:r>
      <w:bookmarkStart w:id="3" w:name="_Toc29748"/>
      <w:r>
        <w:rPr>
          <w:rFonts w:ascii="宋体" w:hAnsi="宋体"/>
          <w:b/>
          <w:bCs/>
          <w:sz w:val="32"/>
        </w:rPr>
        <w:t>磋商邀请书</w:t>
      </w:r>
      <w:bookmarkEnd w:id="0"/>
      <w:bookmarkEnd w:id="1"/>
      <w:bookmarkEnd w:id="2"/>
      <w:bookmarkEnd w:id="3"/>
    </w:p>
    <w:p/>
    <w:p>
      <w:pPr>
        <w:pBdr>
          <w:top w:val="single" w:color="auto" w:sz="4" w:space="1"/>
          <w:left w:val="single" w:color="auto" w:sz="4" w:space="4"/>
          <w:bottom w:val="single" w:color="auto" w:sz="4" w:space="1"/>
          <w:right w:val="single" w:color="auto" w:sz="4" w:space="4"/>
        </w:pBd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项目概况</w:t>
      </w:r>
    </w:p>
    <w:p>
      <w:pPr>
        <w:pBdr>
          <w:top w:val="single" w:color="auto" w:sz="4" w:space="1"/>
          <w:left w:val="single" w:color="auto" w:sz="4" w:space="4"/>
          <w:bottom w:val="single" w:color="auto" w:sz="4" w:space="1"/>
          <w:right w:val="single" w:color="auto" w:sz="4" w:space="4"/>
        </w:pBdr>
        <w:ind w:firstLine="420" w:firstLineChars="200"/>
        <w:rPr>
          <w:rFonts w:asciiTheme="minorEastAsia" w:hAnsiTheme="minorEastAsia" w:eastAsiaTheme="minorEastAsia"/>
          <w:szCs w:val="21"/>
        </w:rPr>
      </w:pPr>
      <w:r>
        <w:rPr>
          <w:rFonts w:hint="eastAsia" w:asciiTheme="minorEastAsia" w:hAnsiTheme="minorEastAsia" w:eastAsiaTheme="minorEastAsia"/>
          <w:szCs w:val="21"/>
          <w:u w:val="single"/>
        </w:rPr>
        <w:t>茭菱校区物业管理服务采购（2021）</w:t>
      </w:r>
      <w:r>
        <w:rPr>
          <w:rFonts w:hint="eastAsia" w:asciiTheme="minorEastAsia" w:hAnsiTheme="minorEastAsia" w:eastAsiaTheme="minorEastAsia"/>
          <w:szCs w:val="21"/>
        </w:rPr>
        <w:t>的潜在供应商应在</w:t>
      </w:r>
      <w:r>
        <w:rPr>
          <w:rFonts w:hint="eastAsia" w:asciiTheme="minorEastAsia" w:hAnsiTheme="minorEastAsia" w:eastAsiaTheme="minorEastAsia"/>
          <w:szCs w:val="21"/>
          <w:u w:val="single"/>
        </w:rPr>
        <w:t>云南省公共资源交易中心网（www.ynggzy.com）</w:t>
      </w:r>
      <w:r>
        <w:rPr>
          <w:rFonts w:hint="eastAsia" w:asciiTheme="minorEastAsia" w:hAnsiTheme="minorEastAsia" w:eastAsiaTheme="minorEastAsia"/>
          <w:szCs w:val="21"/>
        </w:rPr>
        <w:t>获取采购文件，并于</w:t>
      </w:r>
      <w:r>
        <w:rPr>
          <w:rFonts w:hint="eastAsia" w:asciiTheme="minorEastAsia" w:hAnsiTheme="minorEastAsia" w:eastAsiaTheme="minorEastAsia"/>
          <w:szCs w:val="21"/>
          <w:u w:val="single"/>
        </w:rPr>
        <w:t>2021</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9</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16</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r>
        <w:rPr>
          <w:rFonts w:hint="eastAsia" w:asciiTheme="minorEastAsia" w:hAnsiTheme="minorEastAsia" w:eastAsiaTheme="minorEastAsia"/>
          <w:bCs/>
          <w:szCs w:val="21"/>
          <w:u w:val="single"/>
        </w:rPr>
        <w:t>09点30分</w:t>
      </w:r>
      <w:r>
        <w:rPr>
          <w:rFonts w:hint="eastAsia" w:asciiTheme="minorEastAsia" w:hAnsiTheme="minorEastAsia" w:eastAsiaTheme="minorEastAsia"/>
          <w:bCs/>
          <w:szCs w:val="21"/>
        </w:rPr>
        <w:t>（北京时间）前提交响应文件</w:t>
      </w:r>
      <w:r>
        <w:rPr>
          <w:rFonts w:hint="eastAsia" w:asciiTheme="minorEastAsia" w:hAnsiTheme="minorEastAsia" w:eastAsiaTheme="minorEastAsia"/>
          <w:szCs w:val="21"/>
        </w:rPr>
        <w:t>。</w:t>
      </w:r>
    </w:p>
    <w:p>
      <w:bookmarkStart w:id="4" w:name="_Toc28359089"/>
      <w:bookmarkStart w:id="5" w:name="_Toc35393798"/>
      <w:bookmarkStart w:id="6" w:name="_Toc35393629"/>
      <w:bookmarkStart w:id="7" w:name="_Toc43368449"/>
      <w:bookmarkStart w:id="8" w:name="_Toc28359012"/>
    </w:p>
    <w:p>
      <w:pPr>
        <w:pStyle w:val="4"/>
        <w:numPr>
          <w:ilvl w:val="0"/>
          <w:numId w:val="0"/>
        </w:numPr>
        <w:ind w:left="425"/>
        <w:jc w:val="both"/>
        <w:rPr>
          <w:rFonts w:cs="宋体" w:asciiTheme="minorEastAsia" w:hAnsiTheme="minorEastAsia" w:eastAsiaTheme="minorEastAsia"/>
          <w:sz w:val="21"/>
          <w:szCs w:val="21"/>
        </w:rPr>
      </w:pPr>
      <w:bookmarkStart w:id="9" w:name="_Toc30248"/>
      <w:r>
        <w:rPr>
          <w:rFonts w:hint="eastAsia" w:cs="宋体" w:asciiTheme="minorEastAsia" w:hAnsiTheme="minorEastAsia" w:eastAsiaTheme="minorEastAsia"/>
          <w:sz w:val="21"/>
          <w:szCs w:val="21"/>
        </w:rPr>
        <w:t>一、项目基本情况</w:t>
      </w:r>
      <w:bookmarkEnd w:id="4"/>
      <w:bookmarkEnd w:id="5"/>
      <w:bookmarkEnd w:id="6"/>
      <w:bookmarkEnd w:id="7"/>
      <w:bookmarkEnd w:id="8"/>
      <w:bookmarkEnd w:id="9"/>
    </w:p>
    <w:p>
      <w:pPr>
        <w:spacing w:line="360" w:lineRule="auto"/>
        <w:ind w:firstLine="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1.项目编号：</w:t>
      </w:r>
      <w:r>
        <w:rPr>
          <w:rFonts w:asciiTheme="minorEastAsia" w:hAnsiTheme="minorEastAsia" w:eastAsiaTheme="minorEastAsia"/>
          <w:color w:val="000000" w:themeColor="text1"/>
          <w:szCs w:val="21"/>
          <w14:textFill>
            <w14:solidFill>
              <w14:schemeClr w14:val="tx1"/>
            </w14:solidFill>
          </w14:textFill>
        </w:rPr>
        <w:t>YC2021360</w:t>
      </w:r>
      <w:r>
        <w:rPr>
          <w:rFonts w:hint="eastAsia" w:asciiTheme="minorEastAsia" w:hAnsiTheme="minorEastAsia" w:eastAsiaTheme="minorEastAsia"/>
          <w:color w:val="000000" w:themeColor="text1"/>
          <w:szCs w:val="21"/>
          <w:lang w:val="en-US" w:eastAsia="zh-CN"/>
          <w14:textFill>
            <w14:solidFill>
              <w14:schemeClr w14:val="tx1"/>
            </w14:solidFill>
          </w14:textFill>
        </w:rPr>
        <w:t>140</w:t>
      </w:r>
      <w:r>
        <w:rPr>
          <w:rFonts w:hint="eastAsia" w:asciiTheme="minorEastAsia" w:hAnsiTheme="minorEastAsia" w:eastAsiaTheme="minorEastAsia"/>
          <w:color w:val="000000" w:themeColor="text1"/>
          <w:szCs w:val="21"/>
          <w14:textFill>
            <w14:solidFill>
              <w14:schemeClr w14:val="tx1"/>
            </w14:solidFill>
          </w14:textFill>
        </w:rPr>
        <w:t>（计划编号：</w:t>
      </w:r>
      <w:r>
        <w:rPr>
          <w:rFonts w:asciiTheme="minorEastAsia" w:hAnsiTheme="minorEastAsia" w:eastAsiaTheme="minorEastAsia"/>
          <w:color w:val="000000" w:themeColor="text1"/>
          <w:szCs w:val="21"/>
          <w14:textFill>
            <w14:solidFill>
              <w14:schemeClr w14:val="tx1"/>
            </w14:solidFill>
          </w14:textFill>
        </w:rPr>
        <w:t>4530000JH2021</w:t>
      </w:r>
      <w:r>
        <w:rPr>
          <w:rFonts w:hint="eastAsia" w:asciiTheme="minorEastAsia" w:hAnsiTheme="minorEastAsia" w:eastAsiaTheme="minorEastAsia"/>
          <w:color w:val="000000" w:themeColor="text1"/>
          <w:szCs w:val="21"/>
          <w:lang w:val="en-US" w:eastAsia="zh-CN"/>
          <w14:textFill>
            <w14:solidFill>
              <w14:schemeClr w14:val="tx1"/>
            </w14:solidFill>
          </w14:textFill>
        </w:rPr>
        <w:t>09964</w:t>
      </w:r>
      <w:r>
        <w:rPr>
          <w:rFonts w:hint="eastAsia" w:asciiTheme="minorEastAsia" w:hAnsiTheme="minorEastAsia" w:eastAsiaTheme="minorEastAsia"/>
          <w:color w:val="000000" w:themeColor="text1"/>
          <w:szCs w:val="21"/>
          <w14:textFill>
            <w14:solidFill>
              <w14:schemeClr w14:val="tx1"/>
            </w14:solidFill>
          </w14:textFill>
        </w:rPr>
        <w:t>）</w:t>
      </w:r>
    </w:p>
    <w:p>
      <w:pPr>
        <w:spacing w:line="360" w:lineRule="auto"/>
        <w:ind w:firstLine="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2.项目名称：茭菱校区物业管理服务采购（2021）</w:t>
      </w:r>
    </w:p>
    <w:p>
      <w:pPr>
        <w:spacing w:line="360" w:lineRule="auto"/>
        <w:ind w:firstLine="420"/>
        <w:rPr>
          <w:rFonts w:asciiTheme="minorEastAsia" w:hAnsiTheme="minorEastAsia" w:eastAsiaTheme="minorEastAsia"/>
          <w:color w:val="FF0000"/>
          <w:szCs w:val="21"/>
        </w:rPr>
      </w:pPr>
      <w:r>
        <w:rPr>
          <w:rFonts w:hint="eastAsia" w:asciiTheme="minorEastAsia" w:hAnsiTheme="minorEastAsia" w:eastAsiaTheme="minorEastAsia"/>
          <w:szCs w:val="21"/>
        </w:rPr>
        <w:t>3.采购方式：竞争性磋商</w:t>
      </w:r>
    </w:p>
    <w:p>
      <w:pPr>
        <w:spacing w:line="360" w:lineRule="auto"/>
        <w:ind w:firstLine="420"/>
        <w:rPr>
          <w:rFonts w:asciiTheme="minorEastAsia" w:hAnsiTheme="minorEastAsia" w:eastAsiaTheme="minorEastAsia"/>
          <w:color w:val="000000" w:themeColor="text1"/>
          <w:szCs w:val="21"/>
          <w:highlight w:val="cya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4.预算金额：</w:t>
      </w:r>
      <w:r>
        <w:rPr>
          <w:rFonts w:hint="eastAsia" w:asciiTheme="minorEastAsia" w:hAnsiTheme="minorEastAsia" w:eastAsiaTheme="minorEastAsia"/>
          <w:szCs w:val="21"/>
          <w:lang w:val="en-US" w:eastAsia="zh-CN"/>
        </w:rPr>
        <w:t>181.75</w:t>
      </w:r>
      <w:r>
        <w:rPr>
          <w:rFonts w:hint="eastAsia" w:asciiTheme="minorEastAsia" w:hAnsiTheme="minorEastAsia" w:eastAsiaTheme="minorEastAsia"/>
          <w:color w:val="000000" w:themeColor="text1"/>
          <w:szCs w:val="21"/>
          <w14:textFill>
            <w14:solidFill>
              <w14:schemeClr w14:val="tx1"/>
            </w14:solidFill>
          </w14:textFill>
        </w:rPr>
        <w:t>万元；最 高 限 价：</w:t>
      </w:r>
      <w:r>
        <w:rPr>
          <w:rFonts w:hint="eastAsia" w:asciiTheme="minorEastAsia" w:hAnsiTheme="minorEastAsia" w:eastAsiaTheme="minorEastAsia"/>
          <w:szCs w:val="21"/>
          <w:lang w:val="en-US" w:eastAsia="zh-CN"/>
        </w:rPr>
        <w:t>181.75</w:t>
      </w:r>
      <w:r>
        <w:rPr>
          <w:rFonts w:hint="eastAsia" w:asciiTheme="minorEastAsia" w:hAnsiTheme="minorEastAsia" w:eastAsiaTheme="minorEastAsia"/>
          <w:color w:val="000000" w:themeColor="text1"/>
          <w:szCs w:val="21"/>
          <w14:textFill>
            <w14:solidFill>
              <w14:schemeClr w14:val="tx1"/>
            </w14:solidFill>
          </w14:textFill>
        </w:rPr>
        <w:t>万元</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5.服务需求：本项目不分包，详细要求详见第五章“服务需求”。</w:t>
      </w:r>
    </w:p>
    <w:p>
      <w:pPr>
        <w:spacing w:line="360" w:lineRule="auto"/>
        <w:ind w:firstLine="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6.服务期限：壹年（合同签订生效之日至次年同日止）。</w:t>
      </w:r>
    </w:p>
    <w:p>
      <w:pPr>
        <w:spacing w:line="360" w:lineRule="auto"/>
        <w:ind w:firstLine="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服务地点：云南农业职业技术学院茭菱校区。</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7.本项目不接受联合体。</w:t>
      </w:r>
    </w:p>
    <w:p/>
    <w:p>
      <w:pPr>
        <w:pStyle w:val="4"/>
        <w:numPr>
          <w:ilvl w:val="0"/>
          <w:numId w:val="0"/>
        </w:numPr>
        <w:ind w:left="425"/>
        <w:jc w:val="both"/>
        <w:rPr>
          <w:rFonts w:cs="宋体" w:asciiTheme="minorEastAsia" w:hAnsiTheme="minorEastAsia" w:eastAsiaTheme="minorEastAsia"/>
          <w:sz w:val="21"/>
          <w:szCs w:val="21"/>
        </w:rPr>
      </w:pPr>
      <w:bookmarkStart w:id="10" w:name="_Toc35393630"/>
      <w:bookmarkStart w:id="11" w:name="_Toc28359090"/>
      <w:bookmarkStart w:id="12" w:name="_Toc28359013"/>
      <w:bookmarkStart w:id="13" w:name="_Toc35393799"/>
      <w:bookmarkStart w:id="14" w:name="_Toc43368450"/>
      <w:bookmarkStart w:id="15" w:name="_Toc27490"/>
      <w:r>
        <w:rPr>
          <w:rFonts w:hint="eastAsia" w:cs="宋体" w:asciiTheme="minorEastAsia" w:hAnsiTheme="minorEastAsia" w:eastAsiaTheme="minorEastAsia"/>
          <w:sz w:val="21"/>
          <w:szCs w:val="21"/>
        </w:rPr>
        <w:t>二、申请人的资格要求</w:t>
      </w:r>
      <w:bookmarkEnd w:id="10"/>
      <w:bookmarkEnd w:id="11"/>
      <w:bookmarkEnd w:id="12"/>
      <w:bookmarkEnd w:id="13"/>
      <w:bookmarkEnd w:id="14"/>
      <w:bookmarkEnd w:id="15"/>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1.满足《中华人民共和国政府采购法》第二十二条规定，并提供资格证明文件，详见“供应商须知前附表”。</w:t>
      </w:r>
    </w:p>
    <w:p>
      <w:pPr>
        <w:spacing w:line="360" w:lineRule="auto"/>
        <w:ind w:firstLine="420"/>
        <w:rPr>
          <w:rFonts w:asciiTheme="minorEastAsia" w:hAnsiTheme="minorEastAsia" w:eastAsiaTheme="minorEastAsia"/>
          <w:color w:val="FF0000"/>
          <w:szCs w:val="21"/>
        </w:rPr>
      </w:pPr>
      <w:bookmarkStart w:id="16" w:name="_Toc28359091"/>
      <w:bookmarkStart w:id="17" w:name="_Toc28359014"/>
      <w:r>
        <w:rPr>
          <w:rFonts w:hint="eastAsia" w:asciiTheme="minorEastAsia" w:hAnsiTheme="minorEastAsia" w:eastAsiaTheme="minorEastAsia"/>
          <w:szCs w:val="21"/>
        </w:rPr>
        <w:t>2.落实政府采购政策需满足的资格要求：无。</w:t>
      </w:r>
    </w:p>
    <w:p>
      <w:pPr>
        <w:spacing w:line="360" w:lineRule="auto"/>
        <w:ind w:firstLine="420"/>
        <w:rPr>
          <w:rFonts w:hint="eastAsia" w:asciiTheme="minorEastAsia" w:hAnsiTheme="minorEastAsia" w:eastAsiaTheme="minorEastAsia"/>
          <w:szCs w:val="21"/>
          <w:lang w:eastAsia="zh-CN"/>
        </w:rPr>
      </w:pPr>
      <w:r>
        <w:rPr>
          <w:rFonts w:hint="eastAsia" w:asciiTheme="minorEastAsia" w:hAnsiTheme="minorEastAsia" w:eastAsiaTheme="minorEastAsia"/>
          <w:szCs w:val="21"/>
        </w:rPr>
        <w:t>3.本项目的特定资格要求：无</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b w:val="0"/>
          <w:bCs w:val="0"/>
          <w:szCs w:val="21"/>
          <w:highlight w:val="none"/>
        </w:rPr>
        <w:t>4.参加磋商的供应商在响应文件递交截止时间前未被列入“失信被执行人”、“重</w:t>
      </w:r>
      <w:r>
        <w:rPr>
          <w:rFonts w:hint="eastAsia" w:asciiTheme="minorEastAsia" w:hAnsiTheme="minorEastAsia" w:eastAsiaTheme="minorEastAsia"/>
          <w:szCs w:val="21"/>
        </w:rPr>
        <w:t>大税收违法案件当事人名单”、“政府采购严重违法失信名单”，采购人或采购代理机构将通过“信用中国”网站(www.creditchina.gov.cn) “中国政府采购网”网站（www.ccgp.gov.cn）查询供应商信用记录。</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5.为本项目提供整体设计、规范编制或者项目管理、监理、检测等服务的供应商：无。</w:t>
      </w:r>
    </w:p>
    <w:p/>
    <w:p>
      <w:pPr>
        <w:pStyle w:val="4"/>
        <w:numPr>
          <w:ilvl w:val="0"/>
          <w:numId w:val="0"/>
        </w:numPr>
        <w:ind w:left="425"/>
        <w:jc w:val="both"/>
        <w:rPr>
          <w:rFonts w:cs="宋体" w:asciiTheme="minorEastAsia" w:hAnsiTheme="minorEastAsia" w:eastAsiaTheme="minorEastAsia"/>
          <w:sz w:val="21"/>
          <w:szCs w:val="21"/>
        </w:rPr>
      </w:pPr>
      <w:bookmarkStart w:id="18" w:name="_Toc35393631"/>
      <w:bookmarkStart w:id="19" w:name="_Toc35393800"/>
      <w:bookmarkStart w:id="20" w:name="_Toc43368451"/>
      <w:bookmarkStart w:id="21" w:name="_Toc26654"/>
      <w:r>
        <w:rPr>
          <w:rFonts w:hint="eastAsia" w:cs="宋体" w:asciiTheme="minorEastAsia" w:hAnsiTheme="minorEastAsia" w:eastAsiaTheme="minorEastAsia"/>
          <w:sz w:val="21"/>
          <w:szCs w:val="21"/>
        </w:rPr>
        <w:t>三、获取采购文件</w:t>
      </w:r>
      <w:bookmarkEnd w:id="16"/>
      <w:bookmarkEnd w:id="17"/>
      <w:bookmarkEnd w:id="18"/>
      <w:bookmarkEnd w:id="19"/>
      <w:bookmarkEnd w:id="20"/>
      <w:bookmarkEnd w:id="21"/>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1.时间：本公告发出之日起至2021年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9</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7</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r>
        <w:rPr>
          <w:rFonts w:hint="eastAsia" w:asciiTheme="minorEastAsia" w:hAnsiTheme="minorEastAsia" w:eastAsiaTheme="minorEastAsia"/>
          <w:szCs w:val="21"/>
        </w:rPr>
        <w:t>18时00分(北京时间，下同)</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2.地点：云南省公共资源交易中心网（www.ynggzy.com）</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3.方式：</w:t>
      </w:r>
    </w:p>
    <w:p>
      <w:pPr>
        <w:wordWrap w:val="0"/>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本项目报名采用网上报名方式，凡有意参加磋商者，请于本公告发出之日起至202</w:t>
      </w:r>
      <w:r>
        <w:rPr>
          <w:rFonts w:asciiTheme="minorEastAsia" w:hAnsiTheme="minorEastAsia" w:eastAsiaTheme="minorEastAsia"/>
          <w:szCs w:val="21"/>
        </w:rPr>
        <w:t>1</w:t>
      </w:r>
      <w:r>
        <w:rPr>
          <w:rFonts w:hint="eastAsia" w:asciiTheme="minorEastAsia" w:hAnsiTheme="minorEastAsia" w:eastAsiaTheme="minorEastAsia"/>
          <w:szCs w:val="21"/>
        </w:rPr>
        <w:t>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9</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7</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r>
        <w:rPr>
          <w:rFonts w:hint="eastAsia" w:asciiTheme="minorEastAsia" w:hAnsiTheme="minorEastAsia" w:eastAsiaTheme="minorEastAsia"/>
          <w:szCs w:val="21"/>
        </w:rPr>
        <w:t>18时00分(北京时间)，在云南省公共资源交易中心网（www.ynggzy.com）进行注册以及云南CA证书的办理。注册及CA办理完成之后进入云南省公共资源交易中心网中【政府采购】按钮进入“云南省政府采购-投标子系统”凭企业数字证书（CA锁）登陆进行报名及免费下载竞争性磋商文件。(包件编号：ZC530000202100593001001，竞争性磋商文件格式为*.ZCZBJ )。（如有疑问可咨询24小时技术支持热线：010-86483801。）</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注：如果供应商之前已经在云南省公共资源交易中心网进行过注册并办理过云南CA证书，此次无需重复办理，可直接登录云南省政府采购交易平台（网址：www.ynggzy.com/zfcg-tb）进行报名并获取竞争性磋商文件。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4.★未按规定时间及方式报名参与本项目的供应商不得参与磋商。（规定时间方式要求见本公告获取采购文件方式）</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5.售价：免费。</w:t>
      </w:r>
    </w:p>
    <w:p/>
    <w:p>
      <w:pPr>
        <w:pStyle w:val="4"/>
        <w:numPr>
          <w:ilvl w:val="0"/>
          <w:numId w:val="0"/>
        </w:numPr>
        <w:ind w:left="425"/>
        <w:jc w:val="both"/>
        <w:rPr>
          <w:rFonts w:cs="宋体" w:asciiTheme="minorEastAsia" w:hAnsiTheme="minorEastAsia" w:eastAsiaTheme="minorEastAsia"/>
          <w:sz w:val="21"/>
          <w:szCs w:val="21"/>
        </w:rPr>
      </w:pPr>
      <w:bookmarkStart w:id="22" w:name="_Toc28359015"/>
      <w:bookmarkStart w:id="23" w:name="_Toc35393801"/>
      <w:bookmarkStart w:id="24" w:name="_Toc35393632"/>
      <w:bookmarkStart w:id="25" w:name="_Toc43368452"/>
      <w:bookmarkStart w:id="26" w:name="_Toc28359092"/>
      <w:bookmarkStart w:id="27" w:name="_Toc13215"/>
      <w:r>
        <w:rPr>
          <w:rFonts w:hint="eastAsia" w:cs="宋体" w:asciiTheme="minorEastAsia" w:hAnsiTheme="minorEastAsia" w:eastAsiaTheme="minorEastAsia"/>
          <w:sz w:val="21"/>
          <w:szCs w:val="21"/>
        </w:rPr>
        <w:t>四、响应文件提交</w:t>
      </w:r>
      <w:bookmarkEnd w:id="22"/>
      <w:bookmarkEnd w:id="23"/>
      <w:bookmarkEnd w:id="24"/>
      <w:bookmarkEnd w:id="25"/>
      <w:bookmarkEnd w:id="26"/>
      <w:bookmarkEnd w:id="27"/>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1.截止时间：2021年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9</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16</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r>
        <w:rPr>
          <w:rFonts w:hint="eastAsia" w:asciiTheme="minorEastAsia" w:hAnsiTheme="minorEastAsia" w:eastAsiaTheme="minorEastAsia"/>
          <w:szCs w:val="21"/>
        </w:rPr>
        <w:t>09点30分（北京时间）</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2.地点：</w:t>
      </w:r>
      <w:r>
        <w:rPr>
          <w:rFonts w:hint="eastAsia"/>
          <w:color w:val="000000"/>
          <w:szCs w:val="21"/>
        </w:rPr>
        <w:t>昆明高新区科发路269号（科发路与科高路交叉口）交易大厦2楼</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w:t>
      </w:r>
      <w:r>
        <w:rPr>
          <w:rFonts w:hint="eastAsia" w:asciiTheme="minorEastAsia" w:hAnsiTheme="minorEastAsia" w:eastAsiaTheme="minorEastAsia"/>
          <w:szCs w:val="21"/>
          <w:u w:val="single"/>
        </w:rPr>
        <w:t xml:space="preserve"> </w:t>
      </w:r>
      <w:r>
        <w:rPr>
          <w:rFonts w:hint="eastAsia"/>
          <w:color w:val="000000"/>
          <w:szCs w:val="21"/>
        </w:rPr>
        <w:t>号</w:t>
      </w:r>
      <w:r>
        <w:rPr>
          <w:rFonts w:hint="eastAsia" w:asciiTheme="minorEastAsia" w:hAnsiTheme="minorEastAsia" w:eastAsiaTheme="minorEastAsia"/>
          <w:szCs w:val="21"/>
        </w:rPr>
        <w:t>受理窗口</w:t>
      </w:r>
      <w:r>
        <w:rPr>
          <w:rFonts w:hint="eastAsia"/>
          <w:color w:val="000000"/>
          <w:szCs w:val="21"/>
        </w:rPr>
        <w:t>。</w:t>
      </w:r>
    </w:p>
    <w:p>
      <w:pPr>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b/>
          <w:bCs/>
          <w:szCs w:val="21"/>
        </w:rPr>
        <w:t>★</w:t>
      </w:r>
      <w:r>
        <w:rPr>
          <w:rFonts w:hint="eastAsia" w:asciiTheme="minorEastAsia" w:hAnsiTheme="minorEastAsia" w:eastAsiaTheme="minorEastAsia"/>
          <w:b/>
          <w:szCs w:val="21"/>
        </w:rPr>
        <w:t>本项目</w:t>
      </w:r>
      <w:r>
        <w:rPr>
          <w:rFonts w:hint="eastAsia" w:asciiTheme="minorEastAsia" w:hAnsiTheme="minorEastAsia" w:eastAsiaTheme="minorEastAsia"/>
          <w:b/>
          <w:bCs/>
          <w:szCs w:val="21"/>
        </w:rPr>
        <w:t>磋商</w:t>
      </w:r>
      <w:r>
        <w:rPr>
          <w:rFonts w:hint="eastAsia" w:asciiTheme="minorEastAsia" w:hAnsiTheme="minorEastAsia" w:eastAsiaTheme="minorEastAsia"/>
          <w:b/>
          <w:szCs w:val="21"/>
        </w:rPr>
        <w:t>将采用电子评审。供应商须同时递交电子响应文件（含光盘）和纸质响应文件（注：纸质响应文件为电子响应文件的打印件，下同），纸质响应文件与电子响应文件不一致的，以电子响应文件为准。</w:t>
      </w:r>
    </w:p>
    <w:p>
      <w:pPr>
        <w:spacing w:line="360" w:lineRule="auto"/>
        <w:ind w:left="210" w:leftChars="100" w:firstLine="210" w:firstLineChars="100"/>
        <w:rPr>
          <w:rFonts w:asciiTheme="minorEastAsia" w:hAnsiTheme="minorEastAsia" w:eastAsiaTheme="minorEastAsia"/>
          <w:szCs w:val="21"/>
          <w:u w:val="single"/>
        </w:rPr>
      </w:pPr>
      <w:r>
        <w:rPr>
          <w:rFonts w:hint="eastAsia" w:asciiTheme="minorEastAsia" w:hAnsiTheme="minorEastAsia" w:eastAsiaTheme="minorEastAsia"/>
          <w:szCs w:val="21"/>
        </w:rPr>
        <w:t>2.1递交电子响应文件（光盘）和纸质响应文件的时间：2021年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9</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16</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r>
        <w:rPr>
          <w:rFonts w:hint="eastAsia" w:asciiTheme="minorEastAsia" w:hAnsiTheme="minorEastAsia" w:eastAsiaTheme="minorEastAsia"/>
          <w:szCs w:val="21"/>
          <w:u w:val="single"/>
        </w:rPr>
        <w:t>09</w:t>
      </w:r>
      <w:r>
        <w:rPr>
          <w:rFonts w:hint="eastAsia" w:asciiTheme="minorEastAsia" w:hAnsiTheme="minorEastAsia" w:eastAsiaTheme="minorEastAsia"/>
          <w:szCs w:val="21"/>
        </w:rPr>
        <w:t>时</w:t>
      </w:r>
      <w:r>
        <w:rPr>
          <w:rFonts w:hint="eastAsia" w:asciiTheme="minorEastAsia" w:hAnsiTheme="minorEastAsia" w:eastAsiaTheme="minorEastAsia"/>
          <w:szCs w:val="21"/>
          <w:u w:val="single"/>
        </w:rPr>
        <w:t>00</w:t>
      </w:r>
      <w:r>
        <w:rPr>
          <w:rFonts w:hint="eastAsia" w:asciiTheme="minorEastAsia" w:hAnsiTheme="minorEastAsia" w:eastAsiaTheme="minorEastAsia"/>
          <w:szCs w:val="21"/>
        </w:rPr>
        <w:t>分至2021年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9</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16</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r>
        <w:rPr>
          <w:rFonts w:hint="eastAsia" w:asciiTheme="minorEastAsia" w:hAnsiTheme="minorEastAsia" w:eastAsiaTheme="minorEastAsia"/>
          <w:szCs w:val="21"/>
          <w:u w:val="single"/>
        </w:rPr>
        <w:t>09</w:t>
      </w:r>
      <w:r>
        <w:rPr>
          <w:rFonts w:hint="eastAsia" w:asciiTheme="minorEastAsia" w:hAnsiTheme="minorEastAsia" w:eastAsiaTheme="minorEastAsia"/>
          <w:szCs w:val="21"/>
        </w:rPr>
        <w:t>时</w:t>
      </w:r>
      <w:r>
        <w:rPr>
          <w:rFonts w:hint="eastAsia" w:asciiTheme="minorEastAsia" w:hAnsiTheme="minorEastAsia" w:eastAsiaTheme="minorEastAsia"/>
          <w:szCs w:val="21"/>
          <w:u w:val="single"/>
        </w:rPr>
        <w:t>30</w:t>
      </w:r>
      <w:r>
        <w:rPr>
          <w:rFonts w:hint="eastAsia" w:asciiTheme="minorEastAsia" w:hAnsiTheme="minorEastAsia" w:eastAsiaTheme="minorEastAsia"/>
          <w:szCs w:val="21"/>
        </w:rPr>
        <w:t>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2.2递交电子响应文件（光盘）和纸质响应文件的地点：昆明高新区科发路269号（科发路与科高路交叉口）交易大厦</w:t>
      </w:r>
      <w:r>
        <w:rPr>
          <w:rFonts w:hint="eastAsia" w:asciiTheme="minorEastAsia" w:hAnsiTheme="minorEastAsia" w:eastAsiaTheme="minorEastAsia"/>
          <w:szCs w:val="21"/>
          <w:u w:val="single"/>
        </w:rPr>
        <w:t>2</w:t>
      </w:r>
      <w:r>
        <w:rPr>
          <w:rFonts w:hint="eastAsia" w:asciiTheme="minorEastAsia" w:hAnsiTheme="minorEastAsia" w:eastAsiaTheme="minorEastAsia"/>
          <w:szCs w:val="21"/>
        </w:rPr>
        <w:t>楼受理大厅</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号受理窗口。</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2.3响应文件递交截止时间：2021年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9</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16</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r>
        <w:rPr>
          <w:rFonts w:hint="eastAsia" w:asciiTheme="minorEastAsia" w:hAnsiTheme="minorEastAsia" w:eastAsiaTheme="minorEastAsia"/>
          <w:szCs w:val="21"/>
          <w:u w:val="single"/>
        </w:rPr>
        <w:t>09</w:t>
      </w:r>
      <w:r>
        <w:rPr>
          <w:rFonts w:hint="eastAsia" w:asciiTheme="minorEastAsia" w:hAnsiTheme="minorEastAsia" w:eastAsiaTheme="minorEastAsia"/>
          <w:szCs w:val="21"/>
        </w:rPr>
        <w:t>时</w:t>
      </w:r>
      <w:r>
        <w:rPr>
          <w:rFonts w:hint="eastAsia" w:asciiTheme="minorEastAsia" w:hAnsiTheme="minorEastAsia" w:eastAsiaTheme="minorEastAsia"/>
          <w:szCs w:val="21"/>
          <w:u w:val="single"/>
        </w:rPr>
        <w:t>30</w:t>
      </w:r>
      <w:r>
        <w:rPr>
          <w:rFonts w:hint="eastAsia" w:asciiTheme="minorEastAsia" w:hAnsiTheme="minorEastAsia" w:eastAsiaTheme="minorEastAsia"/>
          <w:szCs w:val="21"/>
        </w:rPr>
        <w:t>分。</w:t>
      </w:r>
    </w:p>
    <w:p>
      <w:pPr>
        <w:widowControl/>
        <w:spacing w:line="360" w:lineRule="auto"/>
        <w:ind w:firstLine="420"/>
        <w:jc w:val="left"/>
        <w:rPr>
          <w:rFonts w:asciiTheme="minorEastAsia" w:hAnsiTheme="minorEastAsia" w:eastAsiaTheme="minorEastAsia"/>
          <w:szCs w:val="21"/>
        </w:rPr>
      </w:pPr>
      <w:r>
        <w:rPr>
          <w:rFonts w:hint="eastAsia" w:asciiTheme="minorEastAsia" w:hAnsiTheme="minorEastAsia" w:eastAsiaTheme="minorEastAsia"/>
          <w:szCs w:val="21"/>
        </w:rPr>
        <w:t>2.4</w:t>
      </w:r>
      <w:r>
        <w:rPr>
          <w:rFonts w:hint="eastAsia" w:asciiTheme="minorEastAsia" w:hAnsiTheme="minorEastAsia" w:eastAsiaTheme="minorEastAsia"/>
          <w:b/>
          <w:szCs w:val="21"/>
        </w:rPr>
        <w:t>电子响应文件的递交：</w:t>
      </w:r>
    </w:p>
    <w:p>
      <w:pPr>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b/>
          <w:bCs/>
          <w:szCs w:val="21"/>
        </w:rPr>
        <w:t>★</w:t>
      </w:r>
      <w:r>
        <w:rPr>
          <w:rFonts w:hint="eastAsia" w:asciiTheme="minorEastAsia" w:hAnsiTheme="minorEastAsia" w:eastAsiaTheme="minorEastAsia"/>
          <w:b/>
          <w:szCs w:val="21"/>
        </w:rPr>
        <w:t>电子响应文件通过网上递交（网址：www.ynggzy.com/zfcg-tb），供应商须在响应文件递交截止时间前完成所有电子响应文件的上传，网上确认电子签名，响应文件递交截止时间详见磋商邀请公告2.3条款，响应文件递交截止时间前未完成响应文件传输的，视为撤回响应文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
          <w:szCs w:val="21"/>
        </w:rPr>
        <w:t>2.5电子响应文件（光盘）和纸质响应文件的递交：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
          <w:bCs/>
          <w:szCs w:val="21"/>
        </w:rPr>
        <w:t>★</w:t>
      </w:r>
      <w:r>
        <w:rPr>
          <w:rFonts w:hint="eastAsia" w:asciiTheme="minorEastAsia" w:hAnsiTheme="minorEastAsia" w:eastAsiaTheme="minorEastAsia"/>
          <w:b/>
          <w:szCs w:val="21"/>
        </w:rPr>
        <w:t>除网上递交电子响应文件外，供应商还须到现场递交电子响应文件（光盘）和纸质响应文件，递交时间、地点详见磋商邀请公告2.1、2.2条款，逾期送达的或者未送达指定地点的响应文件，采购人不予受理</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b/>
          <w:szCs w:val="21"/>
          <w:u w:val="single"/>
        </w:rPr>
      </w:pPr>
      <w:r>
        <w:rPr>
          <w:rFonts w:hint="eastAsia" w:asciiTheme="minorEastAsia" w:hAnsiTheme="minorEastAsia" w:eastAsiaTheme="minorEastAsia"/>
          <w:b/>
          <w:szCs w:val="21"/>
          <w:u w:val="single"/>
        </w:rPr>
        <w:t>注：请供应商务必携带编制响应文件时的加密数字证书到达磋商现场。</w:t>
      </w:r>
    </w:p>
    <w:p/>
    <w:p>
      <w:pPr>
        <w:pStyle w:val="4"/>
        <w:numPr>
          <w:ilvl w:val="0"/>
          <w:numId w:val="0"/>
        </w:numPr>
        <w:ind w:left="425"/>
        <w:jc w:val="both"/>
        <w:rPr>
          <w:rFonts w:cs="宋体" w:asciiTheme="minorEastAsia" w:hAnsiTheme="minorEastAsia" w:eastAsiaTheme="minorEastAsia"/>
          <w:sz w:val="21"/>
          <w:szCs w:val="21"/>
        </w:rPr>
      </w:pPr>
      <w:bookmarkStart w:id="28" w:name="_Toc35393633"/>
      <w:bookmarkStart w:id="29" w:name="_Toc28359093"/>
      <w:bookmarkStart w:id="30" w:name="_Toc43368453"/>
      <w:bookmarkStart w:id="31" w:name="_Toc35393802"/>
      <w:bookmarkStart w:id="32" w:name="_Toc28359016"/>
      <w:bookmarkStart w:id="33" w:name="_Toc18221"/>
      <w:r>
        <w:rPr>
          <w:rFonts w:hint="eastAsia" w:cs="宋体" w:asciiTheme="minorEastAsia" w:hAnsiTheme="minorEastAsia" w:eastAsiaTheme="minorEastAsia"/>
          <w:sz w:val="21"/>
          <w:szCs w:val="21"/>
        </w:rPr>
        <w:t>五、开启</w:t>
      </w:r>
      <w:bookmarkEnd w:id="28"/>
      <w:bookmarkEnd w:id="29"/>
      <w:bookmarkEnd w:id="30"/>
      <w:bookmarkEnd w:id="31"/>
      <w:bookmarkEnd w:id="32"/>
      <w:bookmarkEnd w:id="33"/>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时间：2021年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9</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u w:val="single"/>
          <w:lang w:val="en-US" w:eastAsia="zh-CN"/>
        </w:rPr>
        <w:t>16</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r>
        <w:rPr>
          <w:rFonts w:hint="eastAsia" w:asciiTheme="minorEastAsia" w:hAnsiTheme="minorEastAsia" w:eastAsiaTheme="minorEastAsia"/>
          <w:szCs w:val="21"/>
        </w:rPr>
        <w:t>09点30分（北京时间）</w:t>
      </w:r>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地点：昆明高新区科发路269号（科发路与科高路交叉口）交易大厦四楼评标厅</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20</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p>
      <w:pPr>
        <w:pStyle w:val="4"/>
        <w:numPr>
          <w:ilvl w:val="0"/>
          <w:numId w:val="0"/>
        </w:numPr>
        <w:ind w:left="425"/>
        <w:jc w:val="both"/>
        <w:rPr>
          <w:rFonts w:cs="宋体" w:asciiTheme="minorEastAsia" w:hAnsiTheme="minorEastAsia" w:eastAsiaTheme="minorEastAsia"/>
          <w:sz w:val="21"/>
          <w:szCs w:val="21"/>
        </w:rPr>
      </w:pPr>
      <w:bookmarkStart w:id="34" w:name="_Toc35393803"/>
      <w:bookmarkStart w:id="35" w:name="_Toc28359017"/>
      <w:bookmarkStart w:id="36" w:name="_Toc43368454"/>
      <w:bookmarkStart w:id="37" w:name="_Toc28359094"/>
      <w:bookmarkStart w:id="38" w:name="_Toc35393634"/>
      <w:bookmarkStart w:id="39" w:name="_Toc14530"/>
      <w:r>
        <w:rPr>
          <w:rFonts w:hint="eastAsia" w:cs="宋体" w:asciiTheme="minorEastAsia" w:hAnsiTheme="minorEastAsia" w:eastAsiaTheme="minorEastAsia"/>
          <w:sz w:val="21"/>
          <w:szCs w:val="21"/>
        </w:rPr>
        <w:t>六、公告期限</w:t>
      </w:r>
      <w:bookmarkEnd w:id="34"/>
      <w:bookmarkEnd w:id="35"/>
      <w:bookmarkEnd w:id="36"/>
      <w:bookmarkEnd w:id="37"/>
      <w:bookmarkEnd w:id="38"/>
      <w:bookmarkEnd w:id="39"/>
    </w:p>
    <w:p>
      <w:pPr>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自本公告发布之日起3个工作日。</w:t>
      </w:r>
    </w:p>
    <w:p/>
    <w:p>
      <w:pPr>
        <w:pStyle w:val="4"/>
        <w:numPr>
          <w:ilvl w:val="0"/>
          <w:numId w:val="0"/>
        </w:numPr>
        <w:ind w:left="425"/>
        <w:jc w:val="both"/>
        <w:rPr>
          <w:rFonts w:cs="宋体" w:asciiTheme="minorEastAsia" w:hAnsiTheme="minorEastAsia" w:eastAsiaTheme="minorEastAsia"/>
          <w:sz w:val="21"/>
          <w:szCs w:val="21"/>
        </w:rPr>
      </w:pPr>
      <w:bookmarkStart w:id="40" w:name="_Toc43368455"/>
      <w:bookmarkStart w:id="41" w:name="_Toc35393804"/>
      <w:bookmarkStart w:id="42" w:name="_Toc35393635"/>
      <w:bookmarkStart w:id="43" w:name="_Toc29689"/>
      <w:r>
        <w:rPr>
          <w:rFonts w:hint="eastAsia" w:cs="宋体" w:asciiTheme="minorEastAsia" w:hAnsiTheme="minorEastAsia" w:eastAsiaTheme="minorEastAsia"/>
          <w:sz w:val="21"/>
          <w:szCs w:val="21"/>
        </w:rPr>
        <w:t>七、其他补充事宜</w:t>
      </w:r>
      <w:bookmarkEnd w:id="40"/>
      <w:bookmarkEnd w:id="41"/>
      <w:bookmarkEnd w:id="42"/>
      <w:bookmarkEnd w:id="43"/>
    </w:p>
    <w:p>
      <w:pPr>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1.采购信息发布媒体</w:t>
      </w:r>
    </w:p>
    <w:p>
      <w:pPr>
        <w:spacing w:line="360" w:lineRule="auto"/>
        <w:ind w:firstLine="420" w:firstLineChars="200"/>
        <w:rPr>
          <w:rFonts w:asciiTheme="minorEastAsia" w:hAnsiTheme="minorEastAsia" w:eastAsiaTheme="minorEastAsia"/>
          <w:b/>
          <w:bCs/>
          <w:szCs w:val="21"/>
        </w:rPr>
      </w:pPr>
      <w:r>
        <w:rPr>
          <w:rFonts w:hint="eastAsia" w:asciiTheme="minorEastAsia" w:hAnsiTheme="minorEastAsia" w:eastAsiaTheme="minorEastAsia"/>
          <w:b/>
          <w:bCs/>
          <w:szCs w:val="21"/>
        </w:rPr>
        <w:t>采购信息、成交公告均在以下媒体发布：</w:t>
      </w:r>
    </w:p>
    <w:p>
      <w:pPr>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云南省政府采购网（</w:t>
      </w:r>
      <w:r>
        <w:rPr>
          <w:rFonts w:hint="eastAsia" w:asciiTheme="minorEastAsia" w:hAnsiTheme="minorEastAsia" w:eastAsiaTheme="minorEastAsia"/>
          <w:szCs w:val="21"/>
        </w:rPr>
        <w:t>www.yngp.com</w:t>
      </w:r>
      <w:r>
        <w:rPr>
          <w:rFonts w:hint="eastAsia" w:asciiTheme="minorEastAsia" w:hAnsiTheme="minorEastAsia" w:eastAsiaTheme="minorEastAsia"/>
          <w:bCs/>
          <w:szCs w:val="21"/>
        </w:rPr>
        <w:t>）</w:t>
      </w:r>
    </w:p>
    <w:p>
      <w:pPr>
        <w:spacing w:line="360" w:lineRule="auto"/>
        <w:ind w:firstLine="420" w:firstLineChars="200"/>
        <w:rPr>
          <w:rFonts w:asciiTheme="minorEastAsia" w:hAnsiTheme="minorEastAsia" w:eastAsiaTheme="minorEastAsia"/>
          <w:b/>
          <w:bCs/>
          <w:szCs w:val="21"/>
        </w:rPr>
      </w:pPr>
      <w:r>
        <w:rPr>
          <w:rFonts w:hint="eastAsia" w:asciiTheme="minorEastAsia" w:hAnsiTheme="minorEastAsia" w:eastAsiaTheme="minorEastAsia"/>
          <w:bCs/>
          <w:szCs w:val="21"/>
        </w:rPr>
        <w:t>云南省公共资源交易电子服务系统（http://ggzy.yn.gov.cn/）</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云南省政府采购和出让中心门户网站</w:t>
      </w:r>
      <w:r>
        <w:rPr>
          <w:rFonts w:hint="eastAsia" w:asciiTheme="minorEastAsia" w:hAnsiTheme="minorEastAsia" w:eastAsiaTheme="minorEastAsia"/>
          <w:b/>
          <w:szCs w:val="21"/>
        </w:rPr>
        <w:t>（</w:t>
      </w:r>
      <w:r>
        <w:rPr>
          <w:rFonts w:hint="eastAsia" w:asciiTheme="minorEastAsia" w:hAnsiTheme="minorEastAsia" w:eastAsiaTheme="minorEastAsia"/>
          <w:bCs/>
          <w:szCs w:val="21"/>
        </w:rPr>
        <w:t>http://www.yncgcr.com/</w:t>
      </w:r>
      <w:r>
        <w:rPr>
          <w:rFonts w:hint="eastAsia" w:asciiTheme="minorEastAsia" w:hAnsiTheme="minorEastAsia" w:eastAsiaTheme="minorEastAsia"/>
          <w:b/>
          <w:szCs w:val="21"/>
        </w:rPr>
        <w:t>）</w:t>
      </w:r>
    </w:p>
    <w:p>
      <w:pPr>
        <w:spacing w:line="360" w:lineRule="auto"/>
        <w:ind w:firstLine="420" w:firstLineChars="200"/>
        <w:rPr>
          <w:rFonts w:asciiTheme="minorEastAsia" w:hAnsiTheme="minorEastAsia" w:eastAsiaTheme="minorEastAsia"/>
          <w:b/>
          <w:bCs/>
          <w:szCs w:val="21"/>
        </w:rPr>
      </w:pPr>
      <w:r>
        <w:rPr>
          <w:rFonts w:hint="eastAsia" w:asciiTheme="minorEastAsia" w:hAnsiTheme="minorEastAsia" w:eastAsiaTheme="minorEastAsia"/>
          <w:bCs/>
          <w:szCs w:val="21"/>
        </w:rPr>
        <w:t>云南省公共资源交易中心网</w:t>
      </w:r>
      <w:r>
        <w:rPr>
          <w:rFonts w:hint="eastAsia" w:asciiTheme="minorEastAsia" w:hAnsiTheme="minorEastAsia" w:eastAsiaTheme="minorEastAsia"/>
          <w:b/>
          <w:bCs/>
          <w:szCs w:val="21"/>
        </w:rPr>
        <w:t>（</w:t>
      </w:r>
      <w:r>
        <w:rPr>
          <w:rFonts w:hint="eastAsia" w:asciiTheme="minorEastAsia" w:hAnsiTheme="minorEastAsia" w:eastAsiaTheme="minorEastAsia"/>
          <w:szCs w:val="21"/>
        </w:rPr>
        <w:t>www.ynggzy.com</w:t>
      </w:r>
      <w:r>
        <w:rPr>
          <w:rFonts w:hint="eastAsia" w:asciiTheme="minorEastAsia" w:hAnsiTheme="minorEastAsia" w:eastAsiaTheme="minorEastAsia"/>
          <w:b/>
          <w:bCs/>
          <w:szCs w:val="21"/>
        </w:rPr>
        <w:t>）</w:t>
      </w:r>
    </w:p>
    <w:p>
      <w:pPr>
        <w:ind w:firstLine="420" w:firstLineChars="200"/>
        <w:rPr>
          <w:rFonts w:asciiTheme="minorEastAsia" w:hAnsiTheme="minorEastAsia" w:eastAsiaTheme="minorEastAsia"/>
          <w:b/>
          <w:szCs w:val="21"/>
        </w:rPr>
      </w:pPr>
    </w:p>
    <w:p>
      <w:pPr>
        <w:ind w:firstLine="420" w:firstLineChars="200"/>
        <w:rPr>
          <w:rFonts w:asciiTheme="minorEastAsia" w:hAnsiTheme="minorEastAsia" w:eastAsiaTheme="minorEastAsia"/>
          <w:b/>
          <w:szCs w:val="21"/>
        </w:rPr>
      </w:pPr>
      <w:r>
        <w:rPr>
          <w:rFonts w:hint="eastAsia" w:asciiTheme="minorEastAsia" w:hAnsiTheme="minorEastAsia" w:eastAsiaTheme="minorEastAsia"/>
          <w:b/>
          <w:szCs w:val="21"/>
        </w:rPr>
        <w:t>2.技术支持</w:t>
      </w:r>
    </w:p>
    <w:p>
      <w:pPr>
        <w:spacing w:line="360" w:lineRule="auto"/>
        <w:ind w:right="420" w:firstLine="420" w:firstLineChars="200"/>
        <w:rPr>
          <w:rFonts w:ascii="宋体" w:hAnsi="宋体"/>
          <w:szCs w:val="21"/>
        </w:rPr>
      </w:pPr>
      <w:r>
        <w:rPr>
          <w:rFonts w:hint="eastAsia" w:ascii="宋体" w:hAnsi="宋体"/>
          <w:szCs w:val="21"/>
        </w:rPr>
        <w:t>2.1联系方式：</w:t>
      </w:r>
    </w:p>
    <w:p>
      <w:pPr>
        <w:spacing w:line="360" w:lineRule="auto"/>
        <w:ind w:right="420" w:firstLine="420" w:firstLineChars="200"/>
        <w:rPr>
          <w:rFonts w:ascii="宋体" w:hAnsi="宋体"/>
          <w:szCs w:val="21"/>
        </w:rPr>
      </w:pPr>
      <w:r>
        <w:rPr>
          <w:rFonts w:hint="eastAsia" w:ascii="宋体" w:hAnsi="宋体"/>
          <w:szCs w:val="21"/>
        </w:rPr>
        <w:t>电子响应文件制作及上传技术支持电话：010-86483801</w:t>
      </w:r>
    </w:p>
    <w:p>
      <w:pPr>
        <w:spacing w:line="360" w:lineRule="auto"/>
        <w:ind w:right="420" w:firstLine="420" w:firstLineChars="200"/>
        <w:rPr>
          <w:rFonts w:ascii="宋体" w:hAnsi="宋体"/>
          <w:szCs w:val="21"/>
        </w:rPr>
      </w:pPr>
      <w:r>
        <w:rPr>
          <w:rFonts w:hint="eastAsia" w:ascii="宋体" w:hAnsi="宋体"/>
          <w:szCs w:val="21"/>
        </w:rPr>
        <w:t>QQ：4009618998</w:t>
      </w:r>
    </w:p>
    <w:p>
      <w:pPr>
        <w:spacing w:line="360" w:lineRule="auto"/>
        <w:ind w:right="420" w:firstLine="420" w:firstLineChars="200"/>
        <w:rPr>
          <w:rFonts w:ascii="宋体" w:hAnsi="宋体"/>
          <w:szCs w:val="21"/>
        </w:rPr>
      </w:pPr>
      <w:r>
        <w:rPr>
          <w:rFonts w:hint="eastAsia" w:ascii="宋体" w:hAnsi="宋体"/>
          <w:szCs w:val="21"/>
        </w:rPr>
        <w:t>地址：昆明市高新区科发路269号交易大厦云南省公共资源交易中心五楼</w:t>
      </w:r>
    </w:p>
    <w:p>
      <w:pPr>
        <w:spacing w:line="360" w:lineRule="auto"/>
        <w:ind w:right="420" w:firstLine="420" w:firstLineChars="200"/>
        <w:rPr>
          <w:rFonts w:ascii="宋体" w:hAnsi="宋体"/>
          <w:szCs w:val="21"/>
        </w:rPr>
      </w:pPr>
      <w:r>
        <w:rPr>
          <w:rFonts w:hint="eastAsia" w:ascii="宋体" w:hAnsi="宋体"/>
          <w:szCs w:val="21"/>
        </w:rPr>
        <w:t>供应商可到云南省公共资源交易中心网（https://www.ynggzy.com/xzzq/qtxzList）进行“电子响应文件制作及上传”的学习。</w:t>
      </w:r>
    </w:p>
    <w:p>
      <w:pPr>
        <w:spacing w:line="360" w:lineRule="auto"/>
        <w:ind w:right="420" w:firstLine="420" w:firstLineChars="200"/>
        <w:rPr>
          <w:rFonts w:ascii="宋体" w:hAnsi="宋体"/>
          <w:szCs w:val="21"/>
        </w:rPr>
      </w:pPr>
      <w:r>
        <w:rPr>
          <w:rFonts w:hint="eastAsia" w:ascii="宋体" w:hAnsi="宋体"/>
          <w:szCs w:val="21"/>
        </w:rPr>
        <w:t>2.2数字证书办理:</w:t>
      </w:r>
    </w:p>
    <w:p>
      <w:pPr>
        <w:spacing w:line="360" w:lineRule="auto"/>
        <w:ind w:right="420" w:firstLine="420" w:firstLineChars="200"/>
        <w:rPr>
          <w:rFonts w:ascii="宋体" w:hAnsi="宋体"/>
          <w:szCs w:val="21"/>
        </w:rPr>
      </w:pPr>
      <w:r>
        <w:rPr>
          <w:rFonts w:hint="eastAsia" w:ascii="宋体" w:hAnsi="宋体"/>
          <w:szCs w:val="21"/>
        </w:rPr>
        <w:t>供应商可登陆云南省公共资源交易中心网（https://www.ynggzy.com/）中【服务指南】，点击【数字证书办理】，按照云南CA数字证书办理流程（省本级）进行办理。</w:t>
      </w:r>
    </w:p>
    <w:p>
      <w:pPr>
        <w:spacing w:line="360" w:lineRule="auto"/>
        <w:ind w:right="420" w:firstLine="420" w:firstLineChars="200"/>
        <w:rPr>
          <w:rFonts w:ascii="宋体" w:hAnsi="宋体"/>
          <w:szCs w:val="21"/>
        </w:rPr>
      </w:pPr>
      <w:r>
        <w:rPr>
          <w:rFonts w:hint="eastAsia" w:ascii="宋体" w:hAnsi="宋体"/>
          <w:szCs w:val="21"/>
        </w:rPr>
        <w:t>数字证书办理技术支持电话：400-6727-666</w:t>
      </w:r>
    </w:p>
    <w:p>
      <w:pPr>
        <w:spacing w:line="360" w:lineRule="auto"/>
        <w:ind w:right="420" w:firstLine="420" w:firstLineChars="200"/>
        <w:rPr>
          <w:rFonts w:ascii="宋体" w:hAnsi="宋体"/>
          <w:szCs w:val="21"/>
        </w:rPr>
      </w:pPr>
      <w:r>
        <w:rPr>
          <w:rFonts w:hint="eastAsia" w:ascii="宋体" w:hAnsi="宋体"/>
          <w:szCs w:val="21"/>
        </w:rPr>
        <w:t>办理证书地址：云南省昆明市高新区科发路269号云南省公共资源交易中心1楼大厅—数字证书办理窗口。</w:t>
      </w:r>
    </w:p>
    <w:p/>
    <w:p>
      <w:pPr>
        <w:pStyle w:val="4"/>
        <w:numPr>
          <w:ilvl w:val="0"/>
          <w:numId w:val="0"/>
        </w:numPr>
        <w:ind w:left="425"/>
        <w:jc w:val="both"/>
        <w:rPr>
          <w:rFonts w:cs="宋体" w:asciiTheme="minorEastAsia" w:hAnsiTheme="minorEastAsia" w:eastAsiaTheme="minorEastAsia"/>
          <w:sz w:val="21"/>
          <w:szCs w:val="21"/>
        </w:rPr>
      </w:pPr>
      <w:bookmarkStart w:id="44" w:name="_Toc35393636"/>
      <w:bookmarkStart w:id="45" w:name="_Toc35393805"/>
      <w:bookmarkStart w:id="46" w:name="_Toc43368456"/>
      <w:bookmarkStart w:id="47" w:name="_Toc28359095"/>
      <w:bookmarkStart w:id="48" w:name="_Toc28359018"/>
      <w:bookmarkStart w:id="49" w:name="_Toc5214"/>
      <w:r>
        <w:rPr>
          <w:rFonts w:hint="eastAsia" w:cs="宋体" w:asciiTheme="minorEastAsia" w:hAnsiTheme="minorEastAsia" w:eastAsiaTheme="minorEastAsia"/>
          <w:sz w:val="21"/>
          <w:szCs w:val="21"/>
        </w:rPr>
        <w:t>八、凡对本次采购提出询问，请按以下方式联系</w:t>
      </w:r>
      <w:bookmarkEnd w:id="44"/>
      <w:bookmarkEnd w:id="45"/>
      <w:bookmarkEnd w:id="46"/>
      <w:bookmarkEnd w:id="47"/>
      <w:bookmarkEnd w:id="48"/>
      <w:bookmarkEnd w:id="49"/>
    </w:p>
    <w:p>
      <w:pPr>
        <w:ind w:firstLine="420" w:firstLineChars="200"/>
        <w:rPr>
          <w:rFonts w:cs="宋体" w:asciiTheme="minorEastAsia" w:hAnsiTheme="minorEastAsia" w:eastAsiaTheme="minorEastAsia"/>
          <w:b/>
          <w:szCs w:val="21"/>
        </w:rPr>
      </w:pPr>
      <w:bookmarkStart w:id="50" w:name="_Toc28359019"/>
      <w:bookmarkStart w:id="51" w:name="_Toc35393637"/>
      <w:bookmarkStart w:id="52" w:name="_Toc28359096"/>
      <w:bookmarkStart w:id="53" w:name="_Toc35393806"/>
      <w:r>
        <w:rPr>
          <w:rFonts w:hint="eastAsia" w:cs="宋体" w:asciiTheme="minorEastAsia" w:hAnsiTheme="minorEastAsia" w:eastAsiaTheme="minorEastAsia"/>
          <w:b/>
          <w:szCs w:val="21"/>
        </w:rPr>
        <w:t>1.采购人信息</w:t>
      </w:r>
      <w:bookmarkEnd w:id="50"/>
      <w:bookmarkEnd w:id="51"/>
      <w:bookmarkEnd w:id="52"/>
      <w:bookmarkEnd w:id="53"/>
    </w:p>
    <w:p>
      <w:pPr>
        <w:spacing w:line="360" w:lineRule="auto"/>
        <w:ind w:firstLine="420"/>
        <w:rPr>
          <w:rFonts w:hint="eastAsia" w:ascii="宋体" w:hAnsi="宋体"/>
          <w:szCs w:val="21"/>
        </w:rPr>
      </w:pPr>
      <w:bookmarkStart w:id="54" w:name="_Toc28359020"/>
      <w:bookmarkStart w:id="55" w:name="_Toc28359097"/>
      <w:bookmarkStart w:id="56" w:name="_Toc35393807"/>
      <w:bookmarkStart w:id="57" w:name="_Toc35393638"/>
      <w:r>
        <w:rPr>
          <w:rFonts w:hint="eastAsia" w:ascii="宋体" w:hAnsi="宋体"/>
          <w:szCs w:val="21"/>
        </w:rPr>
        <w:t>名    称：云南农业职业技术学院</w:t>
      </w:r>
    </w:p>
    <w:p>
      <w:pPr>
        <w:spacing w:line="360" w:lineRule="auto"/>
        <w:ind w:firstLine="420"/>
        <w:rPr>
          <w:rFonts w:hint="eastAsia" w:ascii="宋体" w:hAnsi="宋体"/>
          <w:szCs w:val="21"/>
        </w:rPr>
      </w:pPr>
      <w:r>
        <w:rPr>
          <w:rFonts w:hint="eastAsia" w:ascii="宋体" w:hAnsi="宋体"/>
          <w:szCs w:val="21"/>
        </w:rPr>
        <w:t>地    址：云南省昆明市五华区茭菱路128号</w:t>
      </w:r>
    </w:p>
    <w:p>
      <w:pPr>
        <w:spacing w:line="360" w:lineRule="auto"/>
        <w:ind w:firstLine="420"/>
        <w:rPr>
          <w:rFonts w:hint="eastAsia" w:eastAsia="宋体"/>
          <w:lang w:val="en-US" w:eastAsia="zh-CN"/>
        </w:rPr>
      </w:pPr>
      <w:r>
        <w:rPr>
          <w:rFonts w:hint="eastAsia" w:ascii="宋体" w:hAnsi="宋体"/>
          <w:szCs w:val="21"/>
        </w:rPr>
        <w:t>项目联系人：</w:t>
      </w:r>
      <w:r>
        <w:rPr>
          <w:rFonts w:hint="eastAsia" w:ascii="宋体" w:hAnsi="宋体"/>
          <w:szCs w:val="21"/>
          <w:lang w:eastAsia="zh-CN"/>
        </w:rPr>
        <w:t>张老师</w:t>
      </w:r>
    </w:p>
    <w:p>
      <w:pPr>
        <w:spacing w:line="360" w:lineRule="auto"/>
        <w:ind w:firstLine="420"/>
        <w:rPr>
          <w:rFonts w:ascii="宋体" w:hAnsi="宋体"/>
          <w:szCs w:val="21"/>
        </w:rPr>
      </w:pPr>
      <w:r>
        <w:rPr>
          <w:rFonts w:hint="eastAsia" w:ascii="宋体" w:hAnsi="宋体"/>
          <w:szCs w:val="21"/>
        </w:rPr>
        <w:t>联系方式：0871-68875872</w:t>
      </w:r>
    </w:p>
    <w:p>
      <w:pPr>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2.采购代理机构信息</w:t>
      </w:r>
      <w:bookmarkEnd w:id="54"/>
      <w:bookmarkEnd w:id="55"/>
      <w:bookmarkEnd w:id="56"/>
      <w:bookmarkEnd w:id="57"/>
    </w:p>
    <w:p>
      <w:pPr>
        <w:spacing w:line="360" w:lineRule="auto"/>
        <w:ind w:firstLine="420"/>
        <w:rPr>
          <w:rFonts w:ascii="宋体" w:hAnsi="宋体"/>
          <w:szCs w:val="21"/>
        </w:rPr>
      </w:pPr>
      <w:r>
        <w:rPr>
          <w:rFonts w:hint="eastAsia" w:ascii="宋体" w:hAnsi="宋体"/>
          <w:szCs w:val="21"/>
        </w:rPr>
        <w:t>名    称：云南省政府采购和出让中心</w:t>
      </w:r>
    </w:p>
    <w:p>
      <w:pPr>
        <w:spacing w:line="360" w:lineRule="auto"/>
        <w:ind w:firstLine="420"/>
        <w:rPr>
          <w:rFonts w:ascii="宋体" w:hAnsi="宋体"/>
          <w:szCs w:val="21"/>
        </w:rPr>
      </w:pPr>
      <w:r>
        <w:rPr>
          <w:rFonts w:hint="eastAsia" w:ascii="宋体" w:hAnsi="宋体"/>
          <w:szCs w:val="21"/>
        </w:rPr>
        <w:t>地　　址：昆明高新区科发路269号交易大厦六楼</w:t>
      </w:r>
    </w:p>
    <w:p>
      <w:pPr>
        <w:spacing w:line="360" w:lineRule="auto"/>
        <w:ind w:firstLine="420"/>
        <w:rPr>
          <w:rFonts w:ascii="宋体" w:hAnsi="宋体"/>
          <w:szCs w:val="21"/>
        </w:rPr>
      </w:pPr>
      <w:r>
        <w:rPr>
          <w:rFonts w:hint="eastAsia" w:ascii="宋体" w:hAnsi="宋体"/>
          <w:szCs w:val="21"/>
        </w:rPr>
        <w:t>联系方式：</w:t>
      </w:r>
      <w:r>
        <w:rPr>
          <w:rFonts w:ascii="宋体" w:hAnsi="宋体"/>
          <w:szCs w:val="21"/>
        </w:rPr>
        <w:t>0871-65</w:t>
      </w:r>
      <w:r>
        <w:rPr>
          <w:rFonts w:hint="eastAsia" w:ascii="宋体" w:hAnsi="宋体"/>
          <w:szCs w:val="21"/>
        </w:rPr>
        <w:t>300212</w:t>
      </w:r>
    </w:p>
    <w:p>
      <w:pPr>
        <w:spacing w:line="360" w:lineRule="auto"/>
        <w:ind w:firstLine="420"/>
        <w:rPr>
          <w:rFonts w:ascii="宋体" w:hAnsi="宋体"/>
          <w:szCs w:val="21"/>
        </w:rPr>
      </w:pPr>
      <w:r>
        <w:rPr>
          <w:rFonts w:hint="eastAsia" w:ascii="宋体" w:hAnsi="宋体"/>
          <w:szCs w:val="21"/>
        </w:rPr>
        <w:t>邮政编码：650106</w:t>
      </w:r>
    </w:p>
    <w:p>
      <w:pPr>
        <w:ind w:firstLine="420" w:firstLineChars="200"/>
        <w:rPr>
          <w:rFonts w:ascii="宋体" w:hAnsi="宋体" w:cs="宋体"/>
          <w:b/>
          <w:szCs w:val="21"/>
        </w:rPr>
      </w:pPr>
      <w:bookmarkStart w:id="58" w:name="_Toc35393808"/>
      <w:bookmarkStart w:id="59" w:name="_Toc28359021"/>
      <w:bookmarkStart w:id="60" w:name="_Toc28359098"/>
      <w:bookmarkStart w:id="61" w:name="_Toc35393639"/>
      <w:r>
        <w:rPr>
          <w:rFonts w:hint="eastAsia" w:ascii="宋体" w:hAnsi="宋体" w:cs="宋体"/>
          <w:b/>
          <w:szCs w:val="21"/>
        </w:rPr>
        <w:t>3.项目联系</w:t>
      </w:r>
      <w:r>
        <w:rPr>
          <w:rFonts w:ascii="宋体" w:hAnsi="宋体" w:cs="宋体"/>
          <w:b/>
          <w:szCs w:val="21"/>
        </w:rPr>
        <w:t>方式</w:t>
      </w:r>
      <w:bookmarkEnd w:id="58"/>
      <w:bookmarkEnd w:id="59"/>
      <w:bookmarkEnd w:id="60"/>
      <w:bookmarkEnd w:id="61"/>
    </w:p>
    <w:p>
      <w:pPr>
        <w:spacing w:line="360" w:lineRule="auto"/>
        <w:ind w:firstLine="420"/>
        <w:rPr>
          <w:rFonts w:ascii="宋体" w:hAnsi="宋体"/>
          <w:szCs w:val="21"/>
        </w:rPr>
      </w:pPr>
      <w:r>
        <w:rPr>
          <w:rFonts w:hint="eastAsia" w:ascii="宋体" w:hAnsi="宋体"/>
          <w:szCs w:val="21"/>
        </w:rPr>
        <w:t>项目联系人：杨杰</w:t>
      </w:r>
    </w:p>
    <w:p>
      <w:pPr>
        <w:spacing w:line="360" w:lineRule="auto"/>
        <w:ind w:firstLine="420"/>
        <w:rPr>
          <w:rFonts w:ascii="宋体" w:hAnsi="宋体"/>
          <w:szCs w:val="21"/>
        </w:rPr>
      </w:pPr>
      <w:r>
        <w:rPr>
          <w:rFonts w:hint="eastAsia" w:ascii="宋体" w:hAnsi="宋体"/>
          <w:szCs w:val="21"/>
        </w:rPr>
        <w:t>电　　 话：</w:t>
      </w:r>
      <w:r>
        <w:rPr>
          <w:rFonts w:ascii="宋体" w:hAnsi="宋体"/>
          <w:szCs w:val="21"/>
        </w:rPr>
        <w:t xml:space="preserve"> 0871-68</w:t>
      </w:r>
      <w:r>
        <w:rPr>
          <w:rFonts w:hint="eastAsia" w:ascii="宋体" w:hAnsi="宋体"/>
          <w:szCs w:val="21"/>
        </w:rPr>
        <w:t>300212</w:t>
      </w:r>
    </w:p>
    <w:p>
      <w:pPr>
        <w:jc w:val="right"/>
        <w:rPr>
          <w:rFonts w:ascii="宋体" w:hAnsi="宋体"/>
          <w:b/>
          <w:bCs/>
          <w:sz w:val="32"/>
        </w:rPr>
      </w:pPr>
      <w:r>
        <w:rPr>
          <w:szCs w:val="21"/>
        </w:rPr>
        <w:t>202</w:t>
      </w:r>
      <w:r>
        <w:rPr>
          <w:rFonts w:hint="eastAsia"/>
          <w:szCs w:val="21"/>
        </w:rPr>
        <w:t>1年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8</w:t>
      </w:r>
      <w:r>
        <w:rPr>
          <w:rFonts w:hint="eastAsia" w:asciiTheme="minorEastAsia" w:hAnsiTheme="minorEastAsia" w:eastAsiaTheme="minorEastAsia"/>
          <w:szCs w:val="21"/>
          <w:u w:val="single"/>
        </w:rPr>
        <w:t xml:space="preserve"> </w:t>
      </w:r>
      <w:r>
        <w:rPr>
          <w:rFonts w:hint="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31</w:t>
      </w:r>
      <w:r>
        <w:rPr>
          <w:rFonts w:hint="eastAsia" w:asciiTheme="minorEastAsia" w:hAnsiTheme="minorEastAsia" w:eastAsiaTheme="minorEastAsia"/>
          <w:szCs w:val="21"/>
          <w:u w:val="single"/>
        </w:rPr>
        <w:t xml:space="preserve"> </w:t>
      </w:r>
      <w:r>
        <w:rPr>
          <w:rFonts w:hint="eastAsia"/>
          <w:szCs w:val="21"/>
        </w:rPr>
        <w:t>日</w:t>
      </w:r>
    </w:p>
    <w:p>
      <w:pPr>
        <w:pStyle w:val="3"/>
        <w:numPr>
          <w:ilvl w:val="0"/>
          <w:numId w:val="0"/>
        </w:numPr>
        <w:jc w:val="center"/>
        <w:rPr>
          <w:rFonts w:ascii="宋体" w:hAnsi="宋体" w:eastAsia="宋体"/>
          <w:color w:val="auto"/>
          <w:sz w:val="32"/>
        </w:rPr>
      </w:pPr>
      <w:r>
        <w:rPr>
          <w:rFonts w:ascii="宋体" w:hAnsi="宋体" w:eastAsia="宋体"/>
          <w:color w:val="auto"/>
          <w:sz w:val="24"/>
          <w:szCs w:val="24"/>
        </w:rPr>
        <w:br w:type="page"/>
      </w:r>
      <w:bookmarkStart w:id="62" w:name="_Toc337822211"/>
      <w:bookmarkStart w:id="63" w:name="_Toc28987"/>
      <w:bookmarkStart w:id="64" w:name="_Toc1734"/>
      <w:bookmarkStart w:id="65" w:name="_Toc30531"/>
      <w:r>
        <w:rPr>
          <w:rFonts w:ascii="宋体" w:hAnsi="宋体" w:eastAsia="宋体"/>
          <w:color w:val="auto"/>
          <w:sz w:val="32"/>
        </w:rPr>
        <w:t>第二章  供应商须知</w:t>
      </w:r>
      <w:bookmarkEnd w:id="62"/>
      <w:bookmarkEnd w:id="63"/>
      <w:bookmarkEnd w:id="64"/>
      <w:bookmarkEnd w:id="65"/>
    </w:p>
    <w:p>
      <w:pPr>
        <w:pStyle w:val="4"/>
        <w:numPr>
          <w:ilvl w:val="0"/>
          <w:numId w:val="0"/>
        </w:numPr>
        <w:spacing w:before="0"/>
        <w:ind w:left="425"/>
        <w:rPr>
          <w:rFonts w:ascii="宋体" w:hAnsi="宋体"/>
          <w:szCs w:val="28"/>
        </w:rPr>
      </w:pPr>
      <w:bookmarkStart w:id="66" w:name="_Toc86124039"/>
      <w:bookmarkStart w:id="67" w:name="_Toc337822212"/>
      <w:bookmarkStart w:id="68" w:name="_Toc30750"/>
      <w:bookmarkStart w:id="69" w:name="_Toc2653"/>
      <w:bookmarkStart w:id="70" w:name="_Toc5059"/>
      <w:r>
        <w:rPr>
          <w:rFonts w:ascii="宋体" w:hAnsi="宋体"/>
          <w:szCs w:val="28"/>
        </w:rPr>
        <w:t>供应商须知前附表</w:t>
      </w:r>
      <w:bookmarkEnd w:id="66"/>
      <w:bookmarkEnd w:id="67"/>
      <w:bookmarkEnd w:id="68"/>
      <w:bookmarkEnd w:id="69"/>
      <w:bookmarkEnd w:id="70"/>
    </w:p>
    <w:tbl>
      <w:tblPr>
        <w:tblStyle w:val="3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155"/>
        <w:gridCol w:w="1757"/>
        <w:gridCol w:w="5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929" w:type="dxa"/>
            <w:vAlign w:val="center"/>
          </w:tcPr>
          <w:p>
            <w:pPr>
              <w:pStyle w:val="15"/>
              <w:jc w:val="center"/>
              <w:rPr>
                <w:rFonts w:hAnsi="宋体"/>
                <w:b/>
                <w:sz w:val="21"/>
                <w:szCs w:val="21"/>
              </w:rPr>
            </w:pPr>
            <w:r>
              <w:rPr>
                <w:rFonts w:hAnsi="宋体"/>
                <w:b/>
                <w:sz w:val="21"/>
                <w:szCs w:val="21"/>
              </w:rPr>
              <w:t>条款号</w:t>
            </w:r>
          </w:p>
        </w:tc>
        <w:tc>
          <w:tcPr>
            <w:tcW w:w="2912" w:type="dxa"/>
            <w:gridSpan w:val="2"/>
            <w:vAlign w:val="center"/>
          </w:tcPr>
          <w:p>
            <w:pPr>
              <w:pStyle w:val="15"/>
              <w:jc w:val="center"/>
              <w:rPr>
                <w:rFonts w:hAnsi="宋体"/>
                <w:b/>
                <w:sz w:val="21"/>
                <w:szCs w:val="21"/>
              </w:rPr>
            </w:pPr>
            <w:r>
              <w:rPr>
                <w:rFonts w:hAnsi="宋体"/>
                <w:b/>
                <w:sz w:val="21"/>
                <w:szCs w:val="21"/>
              </w:rPr>
              <w:t>条 款 名 称</w:t>
            </w:r>
          </w:p>
        </w:tc>
        <w:tc>
          <w:tcPr>
            <w:tcW w:w="5652" w:type="dxa"/>
            <w:vAlign w:val="center"/>
          </w:tcPr>
          <w:p>
            <w:pPr>
              <w:pStyle w:val="15"/>
              <w:jc w:val="center"/>
              <w:rPr>
                <w:rFonts w:hAnsi="宋体"/>
                <w:b/>
                <w:sz w:val="21"/>
                <w:szCs w:val="21"/>
              </w:rPr>
            </w:pPr>
            <w:r>
              <w:rPr>
                <w:rFonts w:hAnsi="宋体"/>
                <w:b/>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Merge w:val="restart"/>
            <w:vAlign w:val="center"/>
          </w:tcPr>
          <w:p>
            <w:pPr>
              <w:pStyle w:val="15"/>
              <w:jc w:val="center"/>
              <w:rPr>
                <w:rFonts w:hAnsi="宋体"/>
                <w:sz w:val="21"/>
                <w:szCs w:val="21"/>
              </w:rPr>
            </w:pPr>
            <w:r>
              <w:rPr>
                <w:rFonts w:hAnsi="宋体"/>
                <w:sz w:val="21"/>
                <w:szCs w:val="21"/>
              </w:rPr>
              <w:t>1.2</w:t>
            </w:r>
          </w:p>
        </w:tc>
        <w:tc>
          <w:tcPr>
            <w:tcW w:w="2912" w:type="dxa"/>
            <w:gridSpan w:val="2"/>
            <w:vAlign w:val="center"/>
          </w:tcPr>
          <w:p>
            <w:pPr>
              <w:pStyle w:val="15"/>
              <w:rPr>
                <w:rFonts w:hAnsi="宋体"/>
                <w:sz w:val="21"/>
                <w:szCs w:val="21"/>
                <w:u w:val="single"/>
              </w:rPr>
            </w:pPr>
            <w:r>
              <w:rPr>
                <w:rFonts w:hAnsi="宋体"/>
                <w:bCs/>
                <w:sz w:val="21"/>
                <w:szCs w:val="21"/>
              </w:rPr>
              <w:t>采购人</w:t>
            </w:r>
          </w:p>
        </w:tc>
        <w:tc>
          <w:tcPr>
            <w:tcW w:w="5652" w:type="dxa"/>
            <w:vAlign w:val="center"/>
          </w:tcPr>
          <w:p>
            <w:pPr>
              <w:pStyle w:val="15"/>
              <w:rPr>
                <w:rFonts w:hAnsi="宋体"/>
                <w:sz w:val="21"/>
                <w:szCs w:val="21"/>
              </w:rPr>
            </w:pPr>
            <w:r>
              <w:rPr>
                <w:rFonts w:hint="eastAsia" w:hAnsi="宋体"/>
                <w:sz w:val="21"/>
                <w:szCs w:val="21"/>
              </w:rPr>
              <w:t>云南农业职业技术学院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Merge w:val="continue"/>
            <w:vAlign w:val="center"/>
          </w:tcPr>
          <w:p>
            <w:pPr>
              <w:rPr>
                <w:rFonts w:ascii="宋体" w:hAnsi="宋体"/>
                <w:szCs w:val="21"/>
              </w:rPr>
            </w:pPr>
          </w:p>
        </w:tc>
        <w:tc>
          <w:tcPr>
            <w:tcW w:w="2912" w:type="dxa"/>
            <w:gridSpan w:val="2"/>
            <w:vAlign w:val="center"/>
          </w:tcPr>
          <w:p>
            <w:pPr>
              <w:pStyle w:val="15"/>
              <w:rPr>
                <w:rFonts w:hAnsi="宋体"/>
                <w:bCs/>
                <w:sz w:val="21"/>
                <w:szCs w:val="21"/>
              </w:rPr>
            </w:pPr>
            <w:r>
              <w:rPr>
                <w:rFonts w:hAnsi="宋体"/>
                <w:bCs/>
                <w:sz w:val="21"/>
                <w:szCs w:val="21"/>
              </w:rPr>
              <w:t>采购代理机构</w:t>
            </w:r>
          </w:p>
        </w:tc>
        <w:tc>
          <w:tcPr>
            <w:tcW w:w="5652" w:type="dxa"/>
            <w:vAlign w:val="center"/>
          </w:tcPr>
          <w:p>
            <w:pPr>
              <w:pStyle w:val="15"/>
              <w:rPr>
                <w:rFonts w:hAnsi="宋体"/>
                <w:sz w:val="21"/>
                <w:szCs w:val="21"/>
              </w:rPr>
            </w:pPr>
            <w:r>
              <w:rPr>
                <w:rFonts w:hint="eastAsia" w:hAnsi="宋体"/>
                <w:sz w:val="21"/>
                <w:szCs w:val="21"/>
              </w:rPr>
              <w:t>云南省政府采购和出让中心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Merge w:val="continue"/>
            <w:vAlign w:val="center"/>
          </w:tcPr>
          <w:p>
            <w:pPr>
              <w:rPr>
                <w:rFonts w:ascii="宋体" w:hAnsi="宋体"/>
                <w:szCs w:val="21"/>
              </w:rPr>
            </w:pPr>
          </w:p>
        </w:tc>
        <w:tc>
          <w:tcPr>
            <w:tcW w:w="2912" w:type="dxa"/>
            <w:gridSpan w:val="2"/>
            <w:vAlign w:val="center"/>
          </w:tcPr>
          <w:p>
            <w:pPr>
              <w:pStyle w:val="15"/>
              <w:rPr>
                <w:rFonts w:hAnsi="宋体"/>
                <w:sz w:val="21"/>
                <w:szCs w:val="21"/>
              </w:rPr>
            </w:pPr>
            <w:r>
              <w:rPr>
                <w:rFonts w:hAnsi="宋体"/>
                <w:sz w:val="21"/>
                <w:szCs w:val="21"/>
              </w:rPr>
              <w:t>项目名称</w:t>
            </w:r>
          </w:p>
        </w:tc>
        <w:tc>
          <w:tcPr>
            <w:tcW w:w="5652" w:type="dxa"/>
            <w:vAlign w:val="center"/>
          </w:tcPr>
          <w:p>
            <w:pPr>
              <w:pStyle w:val="15"/>
              <w:rPr>
                <w:rFonts w:hAnsi="宋体"/>
                <w:sz w:val="21"/>
                <w:szCs w:val="21"/>
              </w:rPr>
            </w:pPr>
            <w:r>
              <w:rPr>
                <w:rFonts w:hint="eastAsia" w:hAnsi="宋体"/>
                <w:sz w:val="21"/>
                <w:szCs w:val="21"/>
              </w:rPr>
              <w:t xml:space="preserve">茭菱校区物业管理服务采购（2021）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Merge w:val="continue"/>
            <w:vAlign w:val="center"/>
          </w:tcPr>
          <w:p>
            <w:pPr>
              <w:rPr>
                <w:rFonts w:ascii="宋体" w:hAnsi="宋体"/>
                <w:szCs w:val="21"/>
              </w:rPr>
            </w:pPr>
          </w:p>
        </w:tc>
        <w:tc>
          <w:tcPr>
            <w:tcW w:w="2912" w:type="dxa"/>
            <w:gridSpan w:val="2"/>
            <w:vAlign w:val="center"/>
          </w:tcPr>
          <w:p>
            <w:pPr>
              <w:pStyle w:val="15"/>
              <w:rPr>
                <w:rFonts w:hAnsi="宋体"/>
                <w:sz w:val="21"/>
                <w:szCs w:val="21"/>
              </w:rPr>
            </w:pPr>
            <w:r>
              <w:rPr>
                <w:rFonts w:hAnsi="宋体"/>
                <w:sz w:val="21"/>
                <w:szCs w:val="21"/>
              </w:rPr>
              <w:t>项目编号</w:t>
            </w:r>
          </w:p>
        </w:tc>
        <w:tc>
          <w:tcPr>
            <w:tcW w:w="5652" w:type="dxa"/>
            <w:vAlign w:val="center"/>
          </w:tcPr>
          <w:p>
            <w:pPr>
              <w:pStyle w:val="15"/>
              <w:rPr>
                <w:rFonts w:hint="default" w:hAnsi="宋体" w:eastAsia="宋体"/>
                <w:sz w:val="21"/>
                <w:szCs w:val="21"/>
                <w:lang w:val="en-US" w:eastAsia="zh-CN"/>
              </w:rPr>
            </w:pPr>
            <w:r>
              <w:rPr>
                <w:rFonts w:hint="eastAsia" w:hAnsi="宋体"/>
                <w:sz w:val="21"/>
                <w:szCs w:val="21"/>
              </w:rPr>
              <w:t>YC2021360</w:t>
            </w:r>
            <w:r>
              <w:rPr>
                <w:rFonts w:hint="eastAsia" w:hAnsi="宋体"/>
                <w:sz w:val="21"/>
                <w:szCs w:val="21"/>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Align w:val="center"/>
          </w:tcPr>
          <w:p>
            <w:pPr>
              <w:ind w:firstLine="210" w:firstLineChars="100"/>
              <w:rPr>
                <w:rFonts w:ascii="宋体" w:hAnsi="宋体"/>
                <w:szCs w:val="21"/>
              </w:rPr>
            </w:pPr>
            <w:r>
              <w:rPr>
                <w:rFonts w:hint="eastAsia" w:ascii="宋体" w:hAnsi="宋体"/>
                <w:szCs w:val="21"/>
              </w:rPr>
              <w:t>2.1</w:t>
            </w:r>
          </w:p>
        </w:tc>
        <w:tc>
          <w:tcPr>
            <w:tcW w:w="2912" w:type="dxa"/>
            <w:gridSpan w:val="2"/>
            <w:vAlign w:val="center"/>
          </w:tcPr>
          <w:p>
            <w:pPr>
              <w:pStyle w:val="15"/>
              <w:rPr>
                <w:rFonts w:ascii="Times New Roman"/>
                <w:sz w:val="21"/>
                <w:szCs w:val="21"/>
              </w:rPr>
            </w:pPr>
            <w:r>
              <w:rPr>
                <w:rFonts w:hint="eastAsia" w:ascii="Times New Roman"/>
                <w:sz w:val="21"/>
                <w:szCs w:val="21"/>
              </w:rPr>
              <w:t>项目预算</w:t>
            </w:r>
          </w:p>
        </w:tc>
        <w:tc>
          <w:tcPr>
            <w:tcW w:w="5652" w:type="dxa"/>
            <w:vAlign w:val="center"/>
          </w:tcPr>
          <w:p>
            <w:pPr>
              <w:pStyle w:val="15"/>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181.75</w:t>
            </w:r>
            <w:r>
              <w:rPr>
                <w:rFonts w:hint="eastAsia" w:asciiTheme="minorEastAsia" w:hAnsiTheme="minorEastAsia" w:eastAsiaTheme="minorEastAsia"/>
                <w:sz w:val="21"/>
                <w:szCs w:val="21"/>
              </w:rPr>
              <w:t>万元；最 高 限 价：</w:t>
            </w:r>
            <w:r>
              <w:rPr>
                <w:rFonts w:hint="eastAsia" w:asciiTheme="minorEastAsia" w:hAnsiTheme="minorEastAsia" w:eastAsiaTheme="minorEastAsia"/>
                <w:sz w:val="21"/>
                <w:szCs w:val="21"/>
                <w:lang w:val="en-US" w:eastAsia="zh-CN"/>
              </w:rPr>
              <w:t>181.75</w:t>
            </w:r>
            <w:r>
              <w:rPr>
                <w:rFonts w:hint="eastAsia" w:asciiTheme="minorEastAsia" w:hAnsiTheme="minorEastAsia" w:eastAsiaTheme="minorEastAsia"/>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Align w:val="center"/>
          </w:tcPr>
          <w:p>
            <w:pPr>
              <w:pStyle w:val="15"/>
              <w:jc w:val="center"/>
              <w:rPr>
                <w:rFonts w:hAnsi="宋体"/>
                <w:sz w:val="21"/>
                <w:szCs w:val="21"/>
              </w:rPr>
            </w:pPr>
            <w:r>
              <w:rPr>
                <w:rFonts w:hAnsi="宋体"/>
                <w:sz w:val="21"/>
                <w:szCs w:val="21"/>
              </w:rPr>
              <w:t>3.1</w:t>
            </w:r>
          </w:p>
        </w:tc>
        <w:tc>
          <w:tcPr>
            <w:tcW w:w="2912" w:type="dxa"/>
            <w:gridSpan w:val="2"/>
            <w:vAlign w:val="center"/>
          </w:tcPr>
          <w:p>
            <w:pPr>
              <w:pStyle w:val="15"/>
              <w:rPr>
                <w:rFonts w:hAnsi="宋体"/>
                <w:sz w:val="21"/>
                <w:szCs w:val="21"/>
              </w:rPr>
            </w:pPr>
            <w:r>
              <w:rPr>
                <w:rFonts w:hint="eastAsia" w:hAnsi="宋体"/>
                <w:sz w:val="21"/>
                <w:szCs w:val="21"/>
              </w:rPr>
              <w:t>服务</w:t>
            </w:r>
            <w:r>
              <w:rPr>
                <w:rFonts w:hAnsi="宋体"/>
                <w:sz w:val="21"/>
                <w:szCs w:val="21"/>
              </w:rPr>
              <w:t>范围</w:t>
            </w:r>
          </w:p>
        </w:tc>
        <w:tc>
          <w:tcPr>
            <w:tcW w:w="5652" w:type="dxa"/>
            <w:vAlign w:val="center"/>
          </w:tcPr>
          <w:p>
            <w:pPr>
              <w:pStyle w:val="15"/>
              <w:rPr>
                <w:rFonts w:hAnsi="宋体"/>
                <w:sz w:val="21"/>
                <w:szCs w:val="21"/>
              </w:rPr>
            </w:pPr>
            <w:r>
              <w:rPr>
                <w:rFonts w:hAnsi="宋体"/>
                <w:sz w:val="21"/>
                <w:szCs w:val="21"/>
              </w:rPr>
              <w:t>详见第五章“</w:t>
            </w:r>
            <w:r>
              <w:rPr>
                <w:rFonts w:hint="eastAsia" w:hAnsi="宋体"/>
                <w:sz w:val="21"/>
                <w:szCs w:val="21"/>
              </w:rPr>
              <w:t>服务需求</w:t>
            </w:r>
            <w:r>
              <w:rPr>
                <w:rFonts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Align w:val="center"/>
          </w:tcPr>
          <w:p>
            <w:pPr>
              <w:pStyle w:val="15"/>
              <w:jc w:val="center"/>
              <w:rPr>
                <w:rFonts w:hAnsi="宋体"/>
                <w:sz w:val="21"/>
                <w:szCs w:val="21"/>
              </w:rPr>
            </w:pPr>
            <w:r>
              <w:rPr>
                <w:rFonts w:hAnsi="宋体"/>
                <w:sz w:val="21"/>
                <w:szCs w:val="21"/>
              </w:rPr>
              <w:t>3.2</w:t>
            </w:r>
          </w:p>
        </w:tc>
        <w:tc>
          <w:tcPr>
            <w:tcW w:w="2912" w:type="dxa"/>
            <w:gridSpan w:val="2"/>
            <w:vAlign w:val="center"/>
          </w:tcPr>
          <w:p>
            <w:pPr>
              <w:pStyle w:val="15"/>
              <w:rPr>
                <w:rFonts w:hAnsi="宋体"/>
                <w:sz w:val="21"/>
                <w:szCs w:val="21"/>
              </w:rPr>
            </w:pPr>
            <w:r>
              <w:rPr>
                <w:rFonts w:hint="eastAsia" w:hAnsi="宋体"/>
                <w:sz w:val="21"/>
                <w:szCs w:val="21"/>
              </w:rPr>
              <w:t>服务期限</w:t>
            </w:r>
          </w:p>
        </w:tc>
        <w:tc>
          <w:tcPr>
            <w:tcW w:w="5652" w:type="dxa"/>
            <w:vAlign w:val="center"/>
          </w:tcPr>
          <w:p>
            <w:pPr>
              <w:pStyle w:val="15"/>
              <w:rPr>
                <w:rFonts w:ascii="Times New Roman"/>
                <w:kern w:val="2"/>
                <w:sz w:val="21"/>
                <w:szCs w:val="21"/>
              </w:rPr>
            </w:pPr>
            <w:r>
              <w:rPr>
                <w:rFonts w:hint="eastAsia" w:ascii="Times New Roman"/>
                <w:kern w:val="2"/>
                <w:sz w:val="21"/>
                <w:szCs w:val="21"/>
              </w:rPr>
              <w:t>见第一章“磋商邀请书”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Align w:val="center"/>
          </w:tcPr>
          <w:p>
            <w:pPr>
              <w:pStyle w:val="15"/>
              <w:jc w:val="center"/>
              <w:rPr>
                <w:rFonts w:hAnsi="宋体"/>
                <w:sz w:val="21"/>
                <w:szCs w:val="21"/>
              </w:rPr>
            </w:pPr>
            <w:r>
              <w:rPr>
                <w:rFonts w:hAnsi="宋体"/>
                <w:sz w:val="21"/>
                <w:szCs w:val="21"/>
              </w:rPr>
              <w:t>4.2</w:t>
            </w:r>
          </w:p>
        </w:tc>
        <w:tc>
          <w:tcPr>
            <w:tcW w:w="2912" w:type="dxa"/>
            <w:gridSpan w:val="2"/>
            <w:vAlign w:val="center"/>
          </w:tcPr>
          <w:p>
            <w:pPr>
              <w:pStyle w:val="15"/>
              <w:rPr>
                <w:rFonts w:hAnsi="宋体"/>
                <w:sz w:val="21"/>
                <w:szCs w:val="21"/>
              </w:rPr>
            </w:pPr>
            <w:r>
              <w:rPr>
                <w:rFonts w:hAnsi="宋体"/>
                <w:sz w:val="21"/>
                <w:szCs w:val="21"/>
              </w:rPr>
              <w:t>供应商特定资格要求★</w:t>
            </w:r>
          </w:p>
        </w:tc>
        <w:tc>
          <w:tcPr>
            <w:tcW w:w="5652" w:type="dxa"/>
            <w:vAlign w:val="center"/>
          </w:tcPr>
          <w:p>
            <w:pPr>
              <w:rPr>
                <w:rFonts w:ascii="宋体" w:hAnsi="宋体"/>
                <w:szCs w:val="21"/>
              </w:rPr>
            </w:pPr>
            <w:r>
              <w:rPr>
                <w:rFonts w:hint="eastAsia"/>
                <w:szCs w:val="21"/>
              </w:rPr>
              <w:t>见</w:t>
            </w:r>
            <w:r>
              <w:rPr>
                <w:szCs w:val="21"/>
              </w:rPr>
              <w:t>第一章</w:t>
            </w:r>
            <w:r>
              <w:rPr>
                <w:rFonts w:hint="eastAsia"/>
                <w:szCs w:val="21"/>
              </w:rPr>
              <w:t>“磋商邀请书”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9" w:type="dxa"/>
            <w:vAlign w:val="center"/>
          </w:tcPr>
          <w:p>
            <w:pPr>
              <w:pStyle w:val="15"/>
              <w:jc w:val="center"/>
              <w:rPr>
                <w:rFonts w:hAnsi="宋体"/>
                <w:sz w:val="21"/>
                <w:szCs w:val="21"/>
              </w:rPr>
            </w:pPr>
            <w:r>
              <w:rPr>
                <w:rFonts w:hint="eastAsia" w:hAnsi="宋体"/>
                <w:sz w:val="21"/>
                <w:szCs w:val="21"/>
              </w:rPr>
              <w:t>4.4</w:t>
            </w:r>
          </w:p>
        </w:tc>
        <w:tc>
          <w:tcPr>
            <w:tcW w:w="2912" w:type="dxa"/>
            <w:gridSpan w:val="2"/>
            <w:vAlign w:val="center"/>
          </w:tcPr>
          <w:p>
            <w:pPr>
              <w:pStyle w:val="15"/>
              <w:rPr>
                <w:rFonts w:hAnsi="宋体"/>
                <w:sz w:val="21"/>
                <w:szCs w:val="21"/>
              </w:rPr>
            </w:pPr>
            <w:r>
              <w:rPr>
                <w:rFonts w:ascii="Times New Roman"/>
                <w:sz w:val="21"/>
                <w:szCs w:val="21"/>
              </w:rPr>
              <w:t>为本项目提供设计、编制规范、进行管理等服务的供应商</w:t>
            </w:r>
          </w:p>
        </w:tc>
        <w:tc>
          <w:tcPr>
            <w:tcW w:w="5652" w:type="dxa"/>
            <w:vAlign w:val="center"/>
          </w:tcPr>
          <w:p>
            <w:pPr>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29" w:type="dxa"/>
            <w:vAlign w:val="center"/>
          </w:tcPr>
          <w:p>
            <w:pPr>
              <w:pStyle w:val="15"/>
              <w:jc w:val="center"/>
              <w:rPr>
                <w:rFonts w:hAnsi="宋体"/>
                <w:sz w:val="21"/>
                <w:szCs w:val="21"/>
              </w:rPr>
            </w:pPr>
            <w:r>
              <w:rPr>
                <w:rFonts w:hAnsi="宋体"/>
                <w:sz w:val="21"/>
                <w:szCs w:val="21"/>
              </w:rPr>
              <w:t>7.3</w:t>
            </w:r>
          </w:p>
        </w:tc>
        <w:tc>
          <w:tcPr>
            <w:tcW w:w="2912" w:type="dxa"/>
            <w:gridSpan w:val="2"/>
            <w:vAlign w:val="center"/>
          </w:tcPr>
          <w:p>
            <w:pPr>
              <w:autoSpaceDE w:val="0"/>
              <w:autoSpaceDN w:val="0"/>
              <w:snapToGrid w:val="0"/>
              <w:textAlignment w:val="bottom"/>
              <w:rPr>
                <w:rFonts w:ascii="宋体" w:hAnsi="宋体"/>
                <w:kern w:val="0"/>
                <w:szCs w:val="21"/>
              </w:rPr>
            </w:pPr>
            <w:r>
              <w:rPr>
                <w:rFonts w:ascii="宋体" w:hAnsi="宋体"/>
                <w:kern w:val="0"/>
                <w:szCs w:val="21"/>
              </w:rPr>
              <w:t>磋商文件澄清联系方式</w:t>
            </w:r>
          </w:p>
        </w:tc>
        <w:tc>
          <w:tcPr>
            <w:tcW w:w="5652" w:type="dxa"/>
            <w:vAlign w:val="center"/>
          </w:tcPr>
          <w:p>
            <w:pPr>
              <w:autoSpaceDE w:val="0"/>
              <w:autoSpaceDN w:val="0"/>
              <w:snapToGrid w:val="0"/>
              <w:spacing w:line="400" w:lineRule="exact"/>
              <w:textAlignment w:val="bottom"/>
              <w:rPr>
                <w:rFonts w:ascii="宋体" w:hAnsi="宋体"/>
                <w:bCs/>
                <w:szCs w:val="21"/>
              </w:rPr>
            </w:pPr>
            <w:r>
              <w:rPr>
                <w:rFonts w:ascii="宋体" w:hAnsi="宋体"/>
                <w:bCs/>
                <w:szCs w:val="21"/>
              </w:rPr>
              <w:t>澄清联系人：杨杰</w:t>
            </w:r>
          </w:p>
          <w:p>
            <w:pPr>
              <w:autoSpaceDE w:val="0"/>
              <w:autoSpaceDN w:val="0"/>
              <w:snapToGrid w:val="0"/>
              <w:textAlignment w:val="bottom"/>
              <w:rPr>
                <w:rFonts w:ascii="宋体" w:hAnsi="宋体"/>
                <w:kern w:val="0"/>
                <w:szCs w:val="21"/>
                <w:highlight w:val="cyan"/>
              </w:rPr>
            </w:pPr>
            <w:r>
              <w:rPr>
                <w:rFonts w:ascii="宋体" w:hAnsi="宋体"/>
                <w:bCs/>
                <w:szCs w:val="21"/>
              </w:rPr>
              <w:t>电话：0871-</w:t>
            </w:r>
            <w:r>
              <w:rPr>
                <w:rFonts w:hint="eastAsia" w:ascii="宋体" w:hAnsi="宋体"/>
                <w:bCs/>
                <w:szCs w:val="21"/>
              </w:rPr>
              <w:t>6</w:t>
            </w:r>
            <w:r>
              <w:rPr>
                <w:rFonts w:ascii="宋体" w:hAnsi="宋体"/>
                <w:bCs/>
                <w:szCs w:val="21"/>
              </w:rPr>
              <w:t>8</w:t>
            </w:r>
            <w:r>
              <w:rPr>
                <w:rFonts w:hint="eastAsia" w:ascii="宋体" w:hAnsi="宋体"/>
                <w:bCs/>
                <w:szCs w:val="21"/>
              </w:rPr>
              <w:t xml:space="preserve">300212    </w:t>
            </w:r>
            <w:r>
              <w:rPr>
                <w:rFonts w:ascii="宋体" w:hAnsi="宋体"/>
                <w:bCs/>
                <w:szCs w:val="21"/>
              </w:rPr>
              <w:t>传真：0871-</w:t>
            </w:r>
            <w:r>
              <w:rPr>
                <w:rFonts w:hint="eastAsia" w:ascii="宋体" w:hAnsi="宋体"/>
                <w:bCs/>
                <w:szCs w:val="21"/>
              </w:rPr>
              <w:t>68322301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2084" w:type="dxa"/>
            <w:gridSpan w:val="2"/>
            <w:vAlign w:val="center"/>
          </w:tcPr>
          <w:p>
            <w:pPr>
              <w:pStyle w:val="15"/>
              <w:spacing w:line="400" w:lineRule="exact"/>
              <w:jc w:val="center"/>
              <w:rPr>
                <w:rFonts w:asciiTheme="minorEastAsia" w:hAnsiTheme="minorEastAsia" w:eastAsiaTheme="minorEastAsia"/>
                <w:sz w:val="21"/>
                <w:szCs w:val="21"/>
              </w:rPr>
            </w:pPr>
            <w:r>
              <w:rPr>
                <w:rFonts w:asciiTheme="minorEastAsia" w:hAnsiTheme="minorEastAsia" w:eastAsiaTheme="minorEastAsia"/>
                <w:sz w:val="21"/>
                <w:szCs w:val="21"/>
              </w:rPr>
              <w:t>9.</w:t>
            </w: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7</w:t>
            </w:r>
            <w:r>
              <w:rPr>
                <w:rFonts w:asciiTheme="minorEastAsia" w:hAnsiTheme="minorEastAsia" w:eastAsiaTheme="minorEastAsia"/>
                <w:sz w:val="21"/>
                <w:szCs w:val="21"/>
              </w:rPr>
              <w:t>）</w:t>
            </w:r>
          </w:p>
        </w:tc>
        <w:tc>
          <w:tcPr>
            <w:tcW w:w="1757" w:type="dxa"/>
            <w:vAlign w:val="center"/>
          </w:tcPr>
          <w:p>
            <w:pPr>
              <w:pStyle w:val="15"/>
              <w:spacing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资格证明文件</w:t>
            </w:r>
          </w:p>
        </w:tc>
        <w:tc>
          <w:tcPr>
            <w:tcW w:w="5652" w:type="dxa"/>
            <w:vAlign w:val="center"/>
          </w:tcPr>
          <w:p>
            <w:pPr>
              <w:autoSpaceDE w:val="0"/>
              <w:autoSpaceDN w:val="0"/>
              <w:snapToGrid w:val="0"/>
              <w:spacing w:line="400" w:lineRule="exact"/>
              <w:textAlignment w:val="bottom"/>
              <w:rPr>
                <w:rFonts w:ascii="宋体"/>
                <w:b/>
                <w:szCs w:val="21"/>
                <w:u w:val="single"/>
              </w:rPr>
            </w:pPr>
            <w:r>
              <w:rPr>
                <w:rFonts w:hint="eastAsia" w:ascii="宋体"/>
                <w:b/>
                <w:bCs/>
                <w:color w:val="000000" w:themeColor="text1"/>
                <w:szCs w:val="21"/>
                <w:u w:val="single"/>
                <w14:textFill>
                  <w14:solidFill>
                    <w14:schemeClr w14:val="tx1"/>
                  </w14:solidFill>
                </w14:textFill>
              </w:rPr>
              <w:t>★</w:t>
            </w:r>
            <w:r>
              <w:rPr>
                <w:rFonts w:hint="eastAsia" w:ascii="宋体"/>
                <w:b/>
                <w:bCs/>
                <w:szCs w:val="21"/>
                <w:u w:val="single"/>
              </w:rPr>
              <w:t>供应商</w:t>
            </w:r>
            <w:r>
              <w:rPr>
                <w:rFonts w:hint="eastAsia" w:ascii="宋体" w:hAnsi="宋体"/>
                <w:b/>
                <w:szCs w:val="21"/>
                <w:u w:val="single"/>
              </w:rPr>
              <w:t>2019年1月至今期间（税款所属时期）</w:t>
            </w:r>
            <w:r>
              <w:rPr>
                <w:rFonts w:hint="eastAsia" w:ascii="宋体"/>
                <w:b/>
                <w:szCs w:val="21"/>
                <w:u w:val="single"/>
              </w:rPr>
              <w:t>任意连续2个月的税务局税收通用缴款书复印件或银行电子缴税（费）凭证复印件或税务局出具纳税情况的相关证明复印件。</w:t>
            </w:r>
          </w:p>
          <w:p>
            <w:pPr>
              <w:autoSpaceDE w:val="0"/>
              <w:autoSpaceDN w:val="0"/>
              <w:snapToGrid w:val="0"/>
              <w:spacing w:line="400" w:lineRule="exact"/>
              <w:textAlignment w:val="bottom"/>
              <w:rPr>
                <w:rFonts w:ascii="宋体"/>
                <w:b/>
                <w:szCs w:val="21"/>
                <w:u w:val="single"/>
              </w:rPr>
            </w:pPr>
            <w:r>
              <w:rPr>
                <w:rFonts w:hint="eastAsia" w:ascii="宋体"/>
                <w:b/>
                <w:bCs/>
                <w:szCs w:val="21"/>
                <w:u w:val="single"/>
              </w:rPr>
              <w:t>★供应商</w:t>
            </w:r>
            <w:r>
              <w:rPr>
                <w:rFonts w:hint="eastAsia" w:ascii="宋体" w:hAnsi="宋体"/>
                <w:b/>
                <w:szCs w:val="21"/>
                <w:u w:val="single"/>
              </w:rPr>
              <w:t>2019年1月至今期间（费款所属时期）</w:t>
            </w:r>
            <w:r>
              <w:rPr>
                <w:rFonts w:hint="eastAsia" w:ascii="宋体"/>
                <w:b/>
                <w:szCs w:val="21"/>
                <w:u w:val="single"/>
              </w:rPr>
              <w:t>任意连续2个月的社会保险费缴款书复印件或银行电子缴税（费）凭证复印件或社保管理部门出具的有效的缴款证明复印件。</w:t>
            </w:r>
          </w:p>
          <w:p>
            <w:pPr>
              <w:autoSpaceDE w:val="0"/>
              <w:autoSpaceDN w:val="0"/>
              <w:snapToGrid w:val="0"/>
              <w:spacing w:line="400" w:lineRule="exact"/>
              <w:textAlignment w:val="bottom"/>
              <w:rPr>
                <w:rFonts w:ascii="宋体" w:hAnsi="宋体"/>
                <w:b/>
                <w:bCs w:val="0"/>
                <w:szCs w:val="21"/>
                <w:u w:val="single"/>
              </w:rPr>
            </w:pPr>
            <w:r>
              <w:rPr>
                <w:rFonts w:hint="eastAsia" w:ascii="宋体"/>
                <w:b/>
                <w:bCs/>
                <w:szCs w:val="21"/>
                <w:u w:val="single"/>
              </w:rPr>
              <w:t>★</w:t>
            </w:r>
            <w:r>
              <w:rPr>
                <w:rFonts w:hint="eastAsia" w:ascii="宋体" w:hAnsi="宋体"/>
                <w:b/>
                <w:szCs w:val="21"/>
                <w:u w:val="single"/>
              </w:rPr>
              <w:t>响应文件中提供供应商2019年至今任一年度财务状况报告（复印件）</w:t>
            </w:r>
            <w:r>
              <w:rPr>
                <w:rFonts w:hint="eastAsia" w:ascii="宋体" w:hAnsi="宋体"/>
                <w:b/>
                <w:bCs w:val="0"/>
                <w:szCs w:val="21"/>
                <w:u w:val="single"/>
              </w:rPr>
              <w:t>，</w:t>
            </w:r>
            <w:r>
              <w:rPr>
                <w:rFonts w:hint="eastAsia" w:ascii="宋体" w:hAnsi="宋体"/>
                <w:b/>
                <w:bCs w:val="0"/>
                <w:color w:val="000000"/>
                <w:szCs w:val="21"/>
                <w:u w:val="single"/>
                <w:lang w:eastAsia="zh-CN"/>
              </w:rPr>
              <w:t>包含但不限于</w:t>
            </w:r>
            <w:r>
              <w:rPr>
                <w:rFonts w:ascii="宋体" w:hAnsi="宋体"/>
                <w:b/>
                <w:bCs w:val="0"/>
                <w:color w:val="000000"/>
                <w:szCs w:val="21"/>
                <w:u w:val="single"/>
              </w:rPr>
              <w:t>资产负债表、现金流量表、利润表和财务情况说明</w:t>
            </w:r>
            <w:r>
              <w:rPr>
                <w:rFonts w:hint="eastAsia" w:ascii="宋体" w:hAnsi="宋体"/>
                <w:b/>
                <w:bCs w:val="0"/>
                <w:color w:val="000000"/>
                <w:szCs w:val="21"/>
                <w:u w:val="single"/>
              </w:rPr>
              <w:t>。</w:t>
            </w:r>
          </w:p>
          <w:p>
            <w:pPr>
              <w:autoSpaceDE w:val="0"/>
              <w:autoSpaceDN w:val="0"/>
              <w:snapToGrid w:val="0"/>
              <w:spacing w:line="400" w:lineRule="exact"/>
              <w:textAlignment w:val="bottom"/>
              <w:rPr>
                <w:rFonts w:ascii="宋体" w:hAnsi="宋体"/>
                <w:b/>
                <w:color w:val="000000" w:themeColor="text1"/>
                <w:szCs w:val="21"/>
                <w:u w:val="single"/>
                <w14:textFill>
                  <w14:solidFill>
                    <w14:schemeClr w14:val="tx1"/>
                  </w14:solidFill>
                </w14:textFill>
              </w:rPr>
            </w:pPr>
            <w:r>
              <w:rPr>
                <w:rFonts w:hint="eastAsia" w:ascii="宋体"/>
                <w:b/>
                <w:bCs/>
                <w:color w:val="000000" w:themeColor="text1"/>
                <w:szCs w:val="21"/>
                <w:u w:val="single"/>
                <w14:textFill>
                  <w14:solidFill>
                    <w14:schemeClr w14:val="tx1"/>
                  </w14:solidFill>
                </w14:textFill>
              </w:rPr>
              <w:t>★</w:t>
            </w:r>
            <w:r>
              <w:rPr>
                <w:rFonts w:hint="eastAsia" w:ascii="宋体" w:hAnsi="宋体"/>
                <w:b/>
                <w:szCs w:val="21"/>
                <w:u w:val="single"/>
              </w:rPr>
              <w:t>供应商</w:t>
            </w:r>
            <w:r>
              <w:rPr>
                <w:rFonts w:hint="eastAsia" w:ascii="宋体" w:hAnsi="宋体"/>
                <w:b/>
                <w:color w:val="000000" w:themeColor="text1"/>
                <w:szCs w:val="21"/>
                <w:u w:val="single"/>
                <w14:textFill>
                  <w14:solidFill>
                    <w14:schemeClr w14:val="tx1"/>
                  </w14:solidFill>
                </w14:textFill>
              </w:rPr>
              <w:t>参加政府采购活动前3年内在经营活动中没有重大违法记录的书面声明原件</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084" w:type="dxa"/>
            <w:gridSpan w:val="2"/>
            <w:vAlign w:val="center"/>
          </w:tcPr>
          <w:p>
            <w:pPr>
              <w:pStyle w:val="15"/>
              <w:jc w:val="center"/>
              <w:rPr>
                <w:rFonts w:hAnsi="宋体"/>
                <w:sz w:val="21"/>
                <w:szCs w:val="21"/>
              </w:rPr>
            </w:pPr>
            <w:r>
              <w:rPr>
                <w:rFonts w:hint="eastAsia" w:hAnsi="宋体"/>
                <w:sz w:val="21"/>
                <w:szCs w:val="21"/>
              </w:rPr>
              <w:t>9.2（8）</w:t>
            </w:r>
          </w:p>
        </w:tc>
        <w:tc>
          <w:tcPr>
            <w:tcW w:w="1757" w:type="dxa"/>
            <w:vAlign w:val="center"/>
          </w:tcPr>
          <w:p>
            <w:pPr>
              <w:pStyle w:val="15"/>
              <w:rPr>
                <w:rFonts w:hAnsi="宋体"/>
                <w:sz w:val="21"/>
                <w:szCs w:val="21"/>
              </w:rPr>
            </w:pPr>
            <w:r>
              <w:rPr>
                <w:rFonts w:asciiTheme="minorEastAsia" w:hAnsiTheme="minorEastAsia" w:eastAsiaTheme="minorEastAsia"/>
                <w:sz w:val="21"/>
                <w:szCs w:val="21"/>
              </w:rPr>
              <w:t>构成响应文件的其他资料</w:t>
            </w:r>
          </w:p>
        </w:tc>
        <w:tc>
          <w:tcPr>
            <w:tcW w:w="5652" w:type="dxa"/>
            <w:vAlign w:val="center"/>
          </w:tcPr>
          <w:p>
            <w:pPr>
              <w:autoSpaceDE w:val="0"/>
              <w:autoSpaceDN w:val="0"/>
              <w:snapToGrid w:val="0"/>
              <w:spacing w:line="400" w:lineRule="exact"/>
              <w:textAlignment w:val="bottom"/>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pacing w:val="6"/>
                <w:szCs w:val="21"/>
                <w14:textFill>
                  <w14:solidFill>
                    <w14:schemeClr w14:val="tx1"/>
                  </w14:solidFill>
                </w14:textFill>
              </w:rPr>
              <w:t>中小企业声明函、残疾人福利性单位声明函、监狱企业证明文件、</w:t>
            </w:r>
            <w:r>
              <w:rPr>
                <w:rFonts w:hint="eastAsia" w:ascii="宋体" w:hAnsi="宋体" w:cs="宋体"/>
                <w:color w:val="000000"/>
                <w:spacing w:val="6"/>
                <w:szCs w:val="21"/>
              </w:rPr>
              <w:t>聘用建档立卡贫困人员企业证明文件</w:t>
            </w:r>
            <w:r>
              <w:rPr>
                <w:rFonts w:hint="eastAsia" w:asciiTheme="minorEastAsia" w:hAnsiTheme="minorEastAsia" w:eastAsiaTheme="minorEastAsia"/>
                <w:color w:val="000000" w:themeColor="text1"/>
                <w:spacing w:val="6"/>
                <w:szCs w:val="21"/>
                <w14:textFill>
                  <w14:solidFill>
                    <w14:schemeClr w14:val="tx1"/>
                  </w14:solidFill>
                </w14:textFill>
              </w:rPr>
              <w:t>（如是）；</w:t>
            </w:r>
          </w:p>
          <w:p>
            <w:pPr>
              <w:autoSpaceDE w:val="0"/>
              <w:autoSpaceDN w:val="0"/>
              <w:snapToGrid w:val="0"/>
              <w:spacing w:line="400" w:lineRule="exact"/>
              <w:textAlignment w:val="bottom"/>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bCs/>
                <w:szCs w:val="21"/>
              </w:rPr>
              <w:t>第五章“服务需求一览表”中要求提供的其他资料；</w:t>
            </w:r>
          </w:p>
          <w:p>
            <w:pPr>
              <w:pStyle w:val="15"/>
              <w:spacing w:line="400" w:lineRule="exact"/>
              <w:rPr>
                <w:rFonts w:asciiTheme="minorEastAsia" w:hAnsiTheme="minorEastAsia" w:eastAsiaTheme="minorEastAsia"/>
                <w:sz w:val="21"/>
                <w:szCs w:val="21"/>
              </w:rPr>
            </w:pPr>
            <w:r>
              <w:rPr>
                <w:rFonts w:hint="eastAsia" w:hAnsi="宋体"/>
                <w:sz w:val="21"/>
                <w:szCs w:val="21"/>
              </w:rPr>
              <w:t>3、</w:t>
            </w:r>
            <w:r>
              <w:rPr>
                <w:rFonts w:hint="eastAsia"/>
                <w:sz w:val="21"/>
                <w:szCs w:val="21"/>
              </w:rPr>
              <w:t>供应商认为必须提供的与本项目有关的其他相关资料。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9" w:type="dxa"/>
            <w:vAlign w:val="center"/>
          </w:tcPr>
          <w:p>
            <w:pPr>
              <w:pStyle w:val="15"/>
              <w:jc w:val="center"/>
              <w:rPr>
                <w:rFonts w:hAnsi="宋体"/>
                <w:sz w:val="21"/>
                <w:szCs w:val="21"/>
              </w:rPr>
            </w:pPr>
            <w:r>
              <w:rPr>
                <w:rFonts w:hAnsi="宋体"/>
                <w:sz w:val="21"/>
                <w:szCs w:val="21"/>
              </w:rPr>
              <w:t>11.1</w:t>
            </w:r>
          </w:p>
        </w:tc>
        <w:tc>
          <w:tcPr>
            <w:tcW w:w="2912" w:type="dxa"/>
            <w:gridSpan w:val="2"/>
            <w:vAlign w:val="center"/>
          </w:tcPr>
          <w:p>
            <w:pPr>
              <w:pStyle w:val="15"/>
              <w:rPr>
                <w:rFonts w:hAnsi="宋体"/>
                <w:sz w:val="21"/>
                <w:szCs w:val="21"/>
              </w:rPr>
            </w:pPr>
            <w:r>
              <w:rPr>
                <w:rFonts w:hAnsi="宋体"/>
                <w:sz w:val="21"/>
                <w:szCs w:val="21"/>
              </w:rPr>
              <w:t>有效期</w:t>
            </w:r>
          </w:p>
        </w:tc>
        <w:tc>
          <w:tcPr>
            <w:tcW w:w="5652" w:type="dxa"/>
            <w:vAlign w:val="center"/>
          </w:tcPr>
          <w:p>
            <w:pPr>
              <w:pStyle w:val="15"/>
              <w:rPr>
                <w:rFonts w:hAnsi="宋体"/>
                <w:sz w:val="21"/>
                <w:szCs w:val="21"/>
              </w:rPr>
            </w:pPr>
            <w:r>
              <w:rPr>
                <w:rFonts w:hAnsi="宋体"/>
                <w:sz w:val="21"/>
                <w:szCs w:val="21"/>
              </w:rPr>
              <w:t>递交响应文件的截止</w:t>
            </w:r>
            <w:r>
              <w:rPr>
                <w:rFonts w:hint="eastAsia" w:hAnsi="宋体"/>
                <w:sz w:val="21"/>
                <w:szCs w:val="21"/>
              </w:rPr>
              <w:t>之日起</w:t>
            </w:r>
            <w:r>
              <w:rPr>
                <w:rFonts w:hAnsi="宋体"/>
                <w:sz w:val="21"/>
                <w:szCs w:val="21"/>
                <w:u w:val="single"/>
              </w:rPr>
              <w:t>90</w:t>
            </w:r>
            <w:r>
              <w:rPr>
                <w:rFonts w:hAnsi="宋体"/>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pPr>
              <w:pStyle w:val="15"/>
              <w:jc w:val="center"/>
              <w:rPr>
                <w:rFonts w:hAnsi="宋体"/>
                <w:sz w:val="21"/>
                <w:szCs w:val="21"/>
              </w:rPr>
            </w:pPr>
            <w:r>
              <w:rPr>
                <w:rFonts w:hAnsi="宋体"/>
                <w:sz w:val="21"/>
                <w:szCs w:val="21"/>
              </w:rPr>
              <w:t>13.1</w:t>
            </w:r>
          </w:p>
        </w:tc>
        <w:tc>
          <w:tcPr>
            <w:tcW w:w="2912" w:type="dxa"/>
            <w:gridSpan w:val="2"/>
            <w:vAlign w:val="center"/>
          </w:tcPr>
          <w:p>
            <w:pPr>
              <w:pStyle w:val="15"/>
              <w:rPr>
                <w:rFonts w:hAnsi="宋体"/>
                <w:sz w:val="21"/>
                <w:szCs w:val="21"/>
              </w:rPr>
            </w:pPr>
            <w:r>
              <w:rPr>
                <w:rFonts w:hAnsi="宋体"/>
                <w:sz w:val="21"/>
                <w:szCs w:val="21"/>
              </w:rPr>
              <w:t>保证金</w:t>
            </w:r>
          </w:p>
        </w:tc>
        <w:tc>
          <w:tcPr>
            <w:tcW w:w="5652" w:type="dxa"/>
            <w:vAlign w:val="center"/>
          </w:tcPr>
          <w:p>
            <w:pPr>
              <w:spacing w:before="78" w:beforeLines="25" w:line="276" w:lineRule="auto"/>
              <w:rPr>
                <w:rFonts w:ascii="宋体" w:hAnsi="宋体"/>
                <w:szCs w:val="21"/>
              </w:rPr>
            </w:pPr>
            <w:r>
              <w:rPr>
                <w:rFonts w:hint="eastAsia" w:ascii="宋体" w:hAnsi="宋体" w:cs="宋体"/>
                <w:b/>
                <w:bCs/>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pPr>
              <w:pStyle w:val="15"/>
              <w:jc w:val="center"/>
              <w:rPr>
                <w:rFonts w:hAnsi="宋体"/>
                <w:kern w:val="2"/>
                <w:sz w:val="21"/>
                <w:szCs w:val="21"/>
              </w:rPr>
            </w:pPr>
            <w:r>
              <w:rPr>
                <w:rFonts w:hint="eastAsia" w:hAnsi="宋体"/>
                <w:kern w:val="2"/>
                <w:sz w:val="21"/>
                <w:szCs w:val="21"/>
              </w:rPr>
              <w:t>14.2</w:t>
            </w:r>
          </w:p>
        </w:tc>
        <w:tc>
          <w:tcPr>
            <w:tcW w:w="2912" w:type="dxa"/>
            <w:gridSpan w:val="2"/>
            <w:vAlign w:val="center"/>
          </w:tcPr>
          <w:p>
            <w:pPr>
              <w:pStyle w:val="15"/>
              <w:rPr>
                <w:rFonts w:ascii="Times New Roman"/>
                <w:sz w:val="21"/>
                <w:szCs w:val="21"/>
              </w:rPr>
            </w:pPr>
            <w:r>
              <w:rPr>
                <w:rFonts w:hint="eastAsia" w:ascii="Times New Roman"/>
                <w:sz w:val="21"/>
                <w:szCs w:val="21"/>
              </w:rPr>
              <w:t>纸质响应文件份数</w:t>
            </w:r>
          </w:p>
        </w:tc>
        <w:tc>
          <w:tcPr>
            <w:tcW w:w="5652" w:type="dxa"/>
            <w:vAlign w:val="center"/>
          </w:tcPr>
          <w:p>
            <w:pPr>
              <w:pStyle w:val="15"/>
              <w:rPr>
                <w:rFonts w:ascii="Times New Roman"/>
                <w:sz w:val="21"/>
                <w:szCs w:val="21"/>
              </w:rPr>
            </w:pPr>
            <w:r>
              <w:rPr>
                <w:rFonts w:hint="eastAsia"/>
                <w:sz w:val="21"/>
                <w:szCs w:val="21"/>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Merge w:val="restart"/>
            <w:vAlign w:val="center"/>
          </w:tcPr>
          <w:p>
            <w:pPr>
              <w:pStyle w:val="28"/>
              <w:jc w:val="center"/>
              <w:rPr>
                <w:rFonts w:hAnsi="宋体"/>
                <w:sz w:val="21"/>
                <w:szCs w:val="21"/>
              </w:rPr>
            </w:pPr>
            <w:r>
              <w:rPr>
                <w:rFonts w:hAnsi="宋体"/>
                <w:sz w:val="21"/>
                <w:szCs w:val="21"/>
              </w:rPr>
              <w:t>15.1</w:t>
            </w:r>
          </w:p>
        </w:tc>
        <w:tc>
          <w:tcPr>
            <w:tcW w:w="2912" w:type="dxa"/>
            <w:gridSpan w:val="2"/>
            <w:vAlign w:val="center"/>
          </w:tcPr>
          <w:p>
            <w:pPr>
              <w:pStyle w:val="15"/>
              <w:rPr>
                <w:rFonts w:hAnsi="宋体"/>
                <w:sz w:val="21"/>
                <w:szCs w:val="21"/>
              </w:rPr>
            </w:pPr>
            <w:r>
              <w:rPr>
                <w:rFonts w:hint="eastAsia" w:hAnsi="宋体"/>
                <w:sz w:val="21"/>
                <w:szCs w:val="21"/>
              </w:rPr>
              <w:t>电子响应文件（光盘）和纸质响应文件递交时间</w:t>
            </w:r>
          </w:p>
        </w:tc>
        <w:tc>
          <w:tcPr>
            <w:tcW w:w="5652" w:type="dxa"/>
            <w:vAlign w:val="center"/>
          </w:tcPr>
          <w:p>
            <w:pPr>
              <w:pStyle w:val="15"/>
              <w:rPr>
                <w:rFonts w:hAnsi="宋体"/>
                <w:sz w:val="21"/>
                <w:szCs w:val="21"/>
              </w:rPr>
            </w:pPr>
            <w:r>
              <w:rPr>
                <w:rFonts w:hint="eastAsia" w:asciiTheme="minorEastAsia" w:hAnsiTheme="minorEastAsia" w:eastAsiaTheme="minorEastAsia" w:cstheme="minorEastAsia"/>
                <w:sz w:val="21"/>
                <w:szCs w:val="21"/>
              </w:rPr>
              <w:t>2021年</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u w:val="single"/>
                <w:lang w:val="en-US" w:eastAsia="zh-CN"/>
              </w:rPr>
              <w:t>9</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rPr>
              <w:t>月</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u w:val="single"/>
                <w:lang w:val="en-US" w:eastAsia="zh-CN"/>
              </w:rPr>
              <w:t>16</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rPr>
              <w:t>日</w:t>
            </w:r>
            <w:r>
              <w:rPr>
                <w:rFonts w:hint="eastAsia" w:asciiTheme="minorEastAsia" w:hAnsiTheme="minorEastAsia" w:eastAsiaTheme="minorEastAsia" w:cstheme="minorEastAsia"/>
                <w:sz w:val="21"/>
                <w:szCs w:val="21"/>
              </w:rPr>
              <w:t>09时00分至2021年</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u w:val="single"/>
                <w:lang w:val="en-US" w:eastAsia="zh-CN"/>
              </w:rPr>
              <w:t>9</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rPr>
              <w:t>月</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u w:val="single"/>
                <w:lang w:val="en-US" w:eastAsia="zh-CN"/>
              </w:rPr>
              <w:t>16</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rPr>
              <w:t>日</w:t>
            </w:r>
            <w:r>
              <w:rPr>
                <w:rFonts w:hint="eastAsia" w:asciiTheme="minorEastAsia" w:hAnsiTheme="minorEastAsia" w:eastAsiaTheme="minorEastAsia" w:cstheme="minorEastAsia"/>
                <w:sz w:val="21"/>
                <w:szCs w:val="21"/>
              </w:rPr>
              <w:t>09时30分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Merge w:val="continue"/>
            <w:vAlign w:val="center"/>
          </w:tcPr>
          <w:p>
            <w:pPr>
              <w:pStyle w:val="28"/>
              <w:jc w:val="center"/>
              <w:rPr>
                <w:rFonts w:hAnsi="宋体"/>
                <w:sz w:val="21"/>
                <w:szCs w:val="21"/>
              </w:rPr>
            </w:pPr>
          </w:p>
        </w:tc>
        <w:tc>
          <w:tcPr>
            <w:tcW w:w="2912" w:type="dxa"/>
            <w:gridSpan w:val="2"/>
            <w:vAlign w:val="center"/>
          </w:tcPr>
          <w:p>
            <w:pPr>
              <w:pStyle w:val="15"/>
              <w:rPr>
                <w:rFonts w:hAnsi="宋体"/>
                <w:sz w:val="21"/>
                <w:szCs w:val="21"/>
              </w:rPr>
            </w:pPr>
            <w:r>
              <w:rPr>
                <w:rFonts w:hint="eastAsia" w:hAnsi="宋体"/>
                <w:sz w:val="21"/>
                <w:szCs w:val="21"/>
              </w:rPr>
              <w:t>电子响应文件（光盘）和纸质响应文件递交截止时间</w:t>
            </w:r>
          </w:p>
        </w:tc>
        <w:tc>
          <w:tcPr>
            <w:tcW w:w="5652" w:type="dxa"/>
            <w:vAlign w:val="center"/>
          </w:tcPr>
          <w:p>
            <w:pPr>
              <w:pStyle w:val="15"/>
              <w:rPr>
                <w:rFonts w:hAnsi="宋体"/>
                <w:sz w:val="21"/>
                <w:szCs w:val="21"/>
              </w:rPr>
            </w:pPr>
            <w:r>
              <w:rPr>
                <w:rFonts w:hint="eastAsia" w:asciiTheme="minorEastAsia" w:hAnsiTheme="minorEastAsia" w:eastAsiaTheme="minorEastAsia" w:cstheme="minorEastAsia"/>
                <w:sz w:val="21"/>
                <w:szCs w:val="21"/>
              </w:rPr>
              <w:t>2021年</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u w:val="single"/>
                <w:lang w:val="en-US" w:eastAsia="zh-CN"/>
              </w:rPr>
              <w:t>9</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rPr>
              <w:t>月</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u w:val="single"/>
                <w:lang w:val="en-US" w:eastAsia="zh-CN"/>
              </w:rPr>
              <w:t>16</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rPr>
              <w:t>日</w:t>
            </w:r>
            <w:r>
              <w:rPr>
                <w:rFonts w:hint="eastAsia" w:asciiTheme="minorEastAsia" w:hAnsiTheme="minorEastAsia" w:eastAsiaTheme="minorEastAsia" w:cstheme="minorEastAsia"/>
                <w:sz w:val="21"/>
                <w:szCs w:val="21"/>
              </w:rPr>
              <w:t>09时30分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pPr>
              <w:pStyle w:val="28"/>
              <w:jc w:val="center"/>
              <w:rPr>
                <w:rFonts w:hAnsi="宋体"/>
                <w:sz w:val="21"/>
                <w:szCs w:val="21"/>
              </w:rPr>
            </w:pPr>
            <w:r>
              <w:rPr>
                <w:rFonts w:hAnsi="宋体"/>
                <w:sz w:val="21"/>
                <w:szCs w:val="21"/>
              </w:rPr>
              <w:t>15.2</w:t>
            </w:r>
          </w:p>
        </w:tc>
        <w:tc>
          <w:tcPr>
            <w:tcW w:w="2912" w:type="dxa"/>
            <w:gridSpan w:val="2"/>
            <w:vAlign w:val="center"/>
          </w:tcPr>
          <w:p>
            <w:pPr>
              <w:pStyle w:val="15"/>
              <w:rPr>
                <w:rFonts w:hAnsi="宋体"/>
                <w:sz w:val="21"/>
                <w:szCs w:val="21"/>
              </w:rPr>
            </w:pPr>
            <w:r>
              <w:rPr>
                <w:rFonts w:hint="eastAsia" w:hAnsi="宋体"/>
                <w:sz w:val="21"/>
                <w:szCs w:val="21"/>
              </w:rPr>
              <w:t>电子响应文件（光盘）和纸质响应文件递交地点</w:t>
            </w:r>
          </w:p>
        </w:tc>
        <w:tc>
          <w:tcPr>
            <w:tcW w:w="5652" w:type="dxa"/>
            <w:vAlign w:val="center"/>
          </w:tcPr>
          <w:p>
            <w:pPr>
              <w:pStyle w:val="15"/>
              <w:rPr>
                <w:rFonts w:hAnsi="宋体"/>
                <w:sz w:val="21"/>
                <w:szCs w:val="21"/>
              </w:rPr>
            </w:pPr>
            <w:r>
              <w:rPr>
                <w:rFonts w:hint="eastAsia" w:hAnsi="宋体"/>
                <w:sz w:val="21"/>
                <w:szCs w:val="21"/>
              </w:rPr>
              <w:t>昆明高新区科发路269号（科发路与科高路交叉口）交易大厦2楼受理大厅</w:t>
            </w:r>
            <w:r>
              <w:rPr>
                <w:rFonts w:hint="eastAsia" w:hAnsi="宋体"/>
                <w:sz w:val="21"/>
                <w:szCs w:val="21"/>
                <w:u w:val="single"/>
              </w:rPr>
              <w:t xml:space="preserve"> </w:t>
            </w:r>
            <w:r>
              <w:rPr>
                <w:rFonts w:hint="eastAsia" w:hAnsi="宋体"/>
                <w:sz w:val="21"/>
                <w:szCs w:val="21"/>
                <w:u w:val="single"/>
                <w:lang w:val="en-US" w:eastAsia="zh-CN"/>
              </w:rPr>
              <w:t>2</w:t>
            </w:r>
            <w:r>
              <w:rPr>
                <w:rFonts w:hint="eastAsia" w:hAnsi="宋体"/>
                <w:sz w:val="21"/>
                <w:szCs w:val="21"/>
                <w:u w:val="single"/>
              </w:rPr>
              <w:t xml:space="preserve"> </w:t>
            </w:r>
            <w:r>
              <w:rPr>
                <w:rFonts w:hint="eastAsia" w:hAnsi="宋体"/>
                <w:sz w:val="21"/>
                <w:szCs w:val="21"/>
              </w:rPr>
              <w:t>号受理窗口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29" w:type="dxa"/>
            <w:vAlign w:val="center"/>
          </w:tcPr>
          <w:p>
            <w:pPr>
              <w:pStyle w:val="28"/>
              <w:jc w:val="center"/>
              <w:rPr>
                <w:rFonts w:hAnsi="宋体"/>
                <w:sz w:val="21"/>
                <w:szCs w:val="21"/>
              </w:rPr>
            </w:pPr>
            <w:r>
              <w:rPr>
                <w:rFonts w:hAnsi="宋体"/>
                <w:sz w:val="21"/>
                <w:szCs w:val="21"/>
              </w:rPr>
              <w:t>15.3</w:t>
            </w:r>
          </w:p>
        </w:tc>
        <w:tc>
          <w:tcPr>
            <w:tcW w:w="2912" w:type="dxa"/>
            <w:gridSpan w:val="2"/>
            <w:vAlign w:val="center"/>
          </w:tcPr>
          <w:p>
            <w:pPr>
              <w:pStyle w:val="15"/>
              <w:rPr>
                <w:rFonts w:hAnsi="宋体"/>
                <w:sz w:val="21"/>
                <w:szCs w:val="21"/>
              </w:rPr>
            </w:pPr>
            <w:r>
              <w:rPr>
                <w:rFonts w:hint="eastAsia" w:hAnsi="宋体"/>
                <w:sz w:val="21"/>
                <w:szCs w:val="21"/>
              </w:rPr>
              <w:t>是否退还电子响应文件（光盘）和纸质响应文件</w:t>
            </w:r>
          </w:p>
        </w:tc>
        <w:tc>
          <w:tcPr>
            <w:tcW w:w="5652" w:type="dxa"/>
            <w:vAlign w:val="center"/>
          </w:tcPr>
          <w:p>
            <w:pPr>
              <w:pStyle w:val="15"/>
              <w:rPr>
                <w:rFonts w:hAnsi="宋体"/>
                <w:sz w:val="21"/>
                <w:szCs w:val="21"/>
              </w:rPr>
            </w:pPr>
            <w:r>
              <w:rPr>
                <w:rFonts w:hAnsi="宋体"/>
                <w:b/>
                <w:sz w:val="21"/>
                <w:szCs w:val="21"/>
              </w:rPr>
              <w:fldChar w:fldCharType="begin"/>
            </w:r>
            <w:r>
              <w:rPr>
                <w:rFonts w:hAnsi="宋体"/>
                <w:b/>
                <w:sz w:val="21"/>
                <w:szCs w:val="21"/>
              </w:rPr>
              <w:instrText xml:space="preserve"> EQ \o(□,√)</w:instrText>
            </w:r>
            <w:r>
              <w:rPr>
                <w:rFonts w:hAnsi="宋体"/>
                <w:b/>
                <w:sz w:val="21"/>
                <w:szCs w:val="21"/>
              </w:rPr>
              <w:fldChar w:fldCharType="end"/>
            </w:r>
            <w:r>
              <w:rPr>
                <w:rFonts w:hAnsi="宋体"/>
                <w:b/>
                <w:sz w:val="21"/>
                <w:szCs w:val="21"/>
              </w:rPr>
              <w:t>否</w:t>
            </w:r>
            <w:r>
              <w:rPr>
                <w:rFonts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pPr>
              <w:pStyle w:val="15"/>
              <w:jc w:val="center"/>
              <w:rPr>
                <w:rFonts w:hAnsi="宋体"/>
                <w:sz w:val="21"/>
                <w:szCs w:val="21"/>
              </w:rPr>
            </w:pPr>
            <w:r>
              <w:rPr>
                <w:rFonts w:hAnsi="宋体"/>
                <w:sz w:val="21"/>
                <w:szCs w:val="21"/>
              </w:rPr>
              <w:t>1</w:t>
            </w:r>
            <w:r>
              <w:rPr>
                <w:rFonts w:hint="eastAsia" w:hAnsi="宋体"/>
                <w:sz w:val="21"/>
                <w:szCs w:val="21"/>
              </w:rPr>
              <w:t>7</w:t>
            </w:r>
          </w:p>
        </w:tc>
        <w:tc>
          <w:tcPr>
            <w:tcW w:w="2912" w:type="dxa"/>
            <w:gridSpan w:val="2"/>
            <w:vAlign w:val="center"/>
          </w:tcPr>
          <w:p>
            <w:pPr>
              <w:pStyle w:val="15"/>
              <w:rPr>
                <w:rFonts w:hAnsi="宋体"/>
                <w:sz w:val="21"/>
                <w:szCs w:val="21"/>
              </w:rPr>
            </w:pPr>
            <w:r>
              <w:rPr>
                <w:rFonts w:hAnsi="宋体"/>
                <w:sz w:val="21"/>
                <w:szCs w:val="21"/>
              </w:rPr>
              <w:t>磋商时间和地点</w:t>
            </w:r>
          </w:p>
        </w:tc>
        <w:tc>
          <w:tcPr>
            <w:tcW w:w="5652" w:type="dxa"/>
            <w:vAlign w:val="center"/>
          </w:tcPr>
          <w:p>
            <w:pPr>
              <w:pStyle w:val="15"/>
              <w:jc w:val="both"/>
              <w:rPr>
                <w:rFonts w:hAnsi="宋体"/>
                <w:sz w:val="21"/>
                <w:szCs w:val="21"/>
              </w:rPr>
            </w:pPr>
            <w:r>
              <w:rPr>
                <w:rFonts w:hAnsi="宋体"/>
                <w:sz w:val="21"/>
                <w:szCs w:val="21"/>
              </w:rPr>
              <w:t>磋商时间</w:t>
            </w:r>
            <w:r>
              <w:rPr>
                <w:rFonts w:hint="eastAsia" w:asciiTheme="minorEastAsia" w:hAnsiTheme="minorEastAsia" w:eastAsiaTheme="minorEastAsia" w:cstheme="minorEastAsia"/>
                <w:sz w:val="21"/>
                <w:szCs w:val="21"/>
              </w:rPr>
              <w:t>：2021年</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u w:val="single"/>
                <w:lang w:val="en-US" w:eastAsia="zh-CN"/>
              </w:rPr>
              <w:t>9</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rPr>
              <w:t>月</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u w:val="single"/>
                <w:lang w:val="en-US" w:eastAsia="zh-CN"/>
              </w:rPr>
              <w:t>16</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bCs/>
                <w:sz w:val="21"/>
                <w:szCs w:val="21"/>
              </w:rPr>
              <w:t>日</w:t>
            </w:r>
            <w:r>
              <w:rPr>
                <w:rFonts w:hint="eastAsia" w:asciiTheme="minorEastAsia" w:hAnsiTheme="minorEastAsia" w:eastAsiaTheme="minorEastAsia" w:cstheme="minorEastAsia"/>
                <w:sz w:val="21"/>
                <w:szCs w:val="21"/>
              </w:rPr>
              <w:t>09时30分开始</w:t>
            </w:r>
          </w:p>
          <w:p>
            <w:pPr>
              <w:pStyle w:val="15"/>
              <w:rPr>
                <w:rFonts w:hAnsi="宋体"/>
                <w:sz w:val="21"/>
                <w:szCs w:val="21"/>
                <w:u w:val="single"/>
              </w:rPr>
            </w:pPr>
            <w:r>
              <w:rPr>
                <w:rFonts w:hAnsi="宋体"/>
                <w:sz w:val="21"/>
                <w:szCs w:val="21"/>
              </w:rPr>
              <w:t>磋商地点：</w:t>
            </w:r>
            <w:r>
              <w:rPr>
                <w:rFonts w:hint="eastAsia" w:hAnsi="宋体"/>
                <w:sz w:val="21"/>
                <w:szCs w:val="21"/>
              </w:rPr>
              <w:t>昆明高新区科发路269号（科发路与科高路交叉口）交易大厦四楼评标厅</w:t>
            </w:r>
            <w:r>
              <w:rPr>
                <w:rFonts w:hint="eastAsia" w:hAnsi="宋体"/>
                <w:sz w:val="21"/>
                <w:szCs w:val="21"/>
                <w:u w:val="single"/>
              </w:rPr>
              <w:t xml:space="preserve"> </w:t>
            </w:r>
            <w:r>
              <w:rPr>
                <w:rFonts w:hint="eastAsia" w:hAnsi="宋体"/>
                <w:sz w:val="21"/>
                <w:szCs w:val="21"/>
                <w:u w:val="single"/>
                <w:lang w:val="en-US" w:eastAsia="zh-CN"/>
              </w:rPr>
              <w:t>20</w:t>
            </w:r>
            <w:r>
              <w:rPr>
                <w:rFonts w:hint="eastAsia" w:hAnsi="宋体"/>
                <w:sz w:val="21"/>
                <w:szCs w:val="21"/>
                <w:u w:val="single"/>
              </w:rPr>
              <w:t xml:space="preserve"> </w:t>
            </w:r>
            <w:r>
              <w:rPr>
                <w:rFonts w:hint="eastAsia" w:hAnsi="宋体"/>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pPr>
              <w:pStyle w:val="15"/>
              <w:jc w:val="center"/>
              <w:rPr>
                <w:rFonts w:hAnsi="宋体"/>
                <w:sz w:val="21"/>
                <w:szCs w:val="21"/>
              </w:rPr>
            </w:pPr>
            <w:r>
              <w:rPr>
                <w:rFonts w:hAnsi="宋体"/>
                <w:sz w:val="21"/>
                <w:szCs w:val="21"/>
              </w:rPr>
              <w:t>2</w:t>
            </w:r>
            <w:r>
              <w:rPr>
                <w:rFonts w:hint="eastAsia" w:hAnsi="宋体"/>
                <w:sz w:val="21"/>
                <w:szCs w:val="21"/>
              </w:rPr>
              <w:t>6.1</w:t>
            </w:r>
          </w:p>
        </w:tc>
        <w:tc>
          <w:tcPr>
            <w:tcW w:w="2912" w:type="dxa"/>
            <w:gridSpan w:val="2"/>
            <w:vAlign w:val="center"/>
          </w:tcPr>
          <w:p>
            <w:pPr>
              <w:pStyle w:val="15"/>
              <w:rPr>
                <w:rFonts w:hAnsi="宋体"/>
                <w:sz w:val="21"/>
                <w:szCs w:val="21"/>
              </w:rPr>
            </w:pPr>
            <w:r>
              <w:rPr>
                <w:rFonts w:asciiTheme="minorEastAsia" w:hAnsiTheme="minorEastAsia" w:eastAsiaTheme="minorEastAsia"/>
                <w:bCs/>
                <w:sz w:val="21"/>
                <w:szCs w:val="21"/>
              </w:rPr>
              <w:t>履约保证金</w:t>
            </w:r>
          </w:p>
        </w:tc>
        <w:tc>
          <w:tcPr>
            <w:tcW w:w="5652" w:type="dxa"/>
            <w:vAlign w:val="center"/>
          </w:tcPr>
          <w:p>
            <w:pPr>
              <w:pStyle w:val="15"/>
              <w:rPr>
                <w:rFonts w:hint="default" w:hAnsi="宋体" w:eastAsia="宋体"/>
                <w:sz w:val="21"/>
                <w:szCs w:val="21"/>
                <w:lang w:val="en-US" w:eastAsia="zh-CN"/>
              </w:rPr>
            </w:pPr>
            <w:r>
              <w:rPr>
                <w:rFonts w:hint="eastAsia" w:hAnsi="宋体"/>
                <w:sz w:val="21"/>
                <w:szCs w:val="21"/>
                <w:lang w:eastAsia="zh-CN"/>
              </w:rPr>
              <w:t>合同总价的</w:t>
            </w:r>
            <w:r>
              <w:rPr>
                <w:rFonts w:hint="eastAsia" w:hAnsi="宋体"/>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pPr>
              <w:pStyle w:val="15"/>
              <w:jc w:val="center"/>
              <w:rPr>
                <w:rFonts w:hAnsi="宋体"/>
                <w:sz w:val="21"/>
                <w:szCs w:val="21"/>
              </w:rPr>
            </w:pPr>
            <w:r>
              <w:rPr>
                <w:rFonts w:hint="eastAsia" w:hAnsi="宋体"/>
                <w:sz w:val="21"/>
                <w:szCs w:val="21"/>
              </w:rPr>
              <w:t>26.3</w:t>
            </w:r>
          </w:p>
        </w:tc>
        <w:tc>
          <w:tcPr>
            <w:tcW w:w="2912" w:type="dxa"/>
            <w:gridSpan w:val="2"/>
            <w:vAlign w:val="center"/>
          </w:tcPr>
          <w:p>
            <w:pPr>
              <w:pStyle w:val="15"/>
              <w:rPr>
                <w:rFonts w:asciiTheme="minorEastAsia" w:hAnsiTheme="minorEastAsia" w:eastAsiaTheme="minorEastAsia"/>
                <w:bCs/>
                <w:sz w:val="21"/>
                <w:szCs w:val="21"/>
              </w:rPr>
            </w:pPr>
            <w:r>
              <w:rPr>
                <w:rFonts w:hAnsi="宋体"/>
                <w:sz w:val="21"/>
                <w:szCs w:val="21"/>
              </w:rPr>
              <w:t>履约保证金退还时间</w:t>
            </w:r>
          </w:p>
        </w:tc>
        <w:tc>
          <w:tcPr>
            <w:tcW w:w="5652" w:type="dxa"/>
            <w:vAlign w:val="center"/>
          </w:tcPr>
          <w:p>
            <w:pPr>
              <w:pStyle w:val="15"/>
              <w:rPr>
                <w:rFonts w:hint="eastAsia" w:asciiTheme="minorEastAsia" w:hAnsiTheme="minorEastAsia" w:eastAsiaTheme="minorEastAsia"/>
                <w:sz w:val="21"/>
                <w:szCs w:val="21"/>
                <w:lang w:eastAsia="zh-CN"/>
              </w:rPr>
            </w:pPr>
            <w:r>
              <w:rPr>
                <w:rFonts w:hint="eastAsia" w:hAnsi="宋体" w:eastAsiaTheme="minorEastAsia"/>
                <w:sz w:val="21"/>
                <w:szCs w:val="21"/>
                <w:lang w:eastAsia="zh-CN"/>
              </w:rPr>
              <w:t>采购人退还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 w:type="dxa"/>
            <w:vAlign w:val="center"/>
          </w:tcPr>
          <w:p>
            <w:pPr>
              <w:pStyle w:val="15"/>
              <w:jc w:val="center"/>
              <w:rPr>
                <w:rFonts w:hAnsi="宋体"/>
                <w:sz w:val="21"/>
                <w:szCs w:val="21"/>
              </w:rPr>
            </w:pPr>
            <w:r>
              <w:rPr>
                <w:rFonts w:hint="eastAsia" w:hAnsi="宋体"/>
                <w:sz w:val="21"/>
                <w:szCs w:val="21"/>
              </w:rPr>
              <w:t>28</w:t>
            </w:r>
          </w:p>
        </w:tc>
        <w:tc>
          <w:tcPr>
            <w:tcW w:w="2912" w:type="dxa"/>
            <w:gridSpan w:val="2"/>
            <w:vAlign w:val="center"/>
          </w:tcPr>
          <w:p>
            <w:pPr>
              <w:pStyle w:val="15"/>
              <w:rPr>
                <w:rFonts w:hAnsi="宋体"/>
                <w:sz w:val="21"/>
                <w:szCs w:val="21"/>
              </w:rPr>
            </w:pPr>
            <w:r>
              <w:rPr>
                <w:rFonts w:hAnsi="宋体"/>
                <w:sz w:val="21"/>
                <w:szCs w:val="21"/>
              </w:rPr>
              <w:t>采购代理服务费</w:t>
            </w:r>
          </w:p>
        </w:tc>
        <w:tc>
          <w:tcPr>
            <w:tcW w:w="5652" w:type="dxa"/>
            <w:vAlign w:val="center"/>
          </w:tcPr>
          <w:p>
            <w:pPr>
              <w:pStyle w:val="15"/>
              <w:rPr>
                <w:rFonts w:hAnsi="宋体"/>
                <w:sz w:val="21"/>
                <w:szCs w:val="21"/>
              </w:rPr>
            </w:pPr>
            <w:r>
              <w:rPr>
                <w:rFonts w:hint="eastAsia" w:hAnsi="宋体"/>
                <w:sz w:val="21"/>
                <w:szCs w:val="21"/>
              </w:rPr>
              <w:t>无</w:t>
            </w:r>
          </w:p>
        </w:tc>
      </w:tr>
    </w:tbl>
    <w:p>
      <w:pPr>
        <w:rPr>
          <w:rFonts w:ascii="宋体" w:hAnsi="宋体"/>
        </w:rPr>
      </w:pPr>
      <w:bookmarkStart w:id="71" w:name="_Toc86124040"/>
    </w:p>
    <w:p>
      <w:pPr>
        <w:rPr>
          <w:rFonts w:ascii="宋体" w:hAnsi="宋体"/>
        </w:rPr>
      </w:pPr>
    </w:p>
    <w:p>
      <w:pPr>
        <w:pStyle w:val="4"/>
        <w:numPr>
          <w:ilvl w:val="0"/>
          <w:numId w:val="0"/>
        </w:numPr>
        <w:spacing w:before="0" w:line="240" w:lineRule="auto"/>
        <w:ind w:left="425"/>
        <w:rPr>
          <w:rFonts w:ascii="宋体" w:hAnsi="宋体"/>
          <w:szCs w:val="28"/>
        </w:rPr>
      </w:pPr>
      <w:r>
        <w:rPr>
          <w:rFonts w:ascii="宋体" w:hAnsi="宋体"/>
          <w:szCs w:val="28"/>
        </w:rPr>
        <w:br w:type="page"/>
      </w:r>
      <w:bookmarkStart w:id="72" w:name="_Toc24894"/>
      <w:bookmarkStart w:id="73" w:name="_Toc337822213"/>
      <w:bookmarkStart w:id="74" w:name="_Toc15413"/>
      <w:bookmarkStart w:id="75" w:name="_Toc31335"/>
      <w:r>
        <w:rPr>
          <w:rFonts w:ascii="宋体" w:hAnsi="宋体"/>
          <w:szCs w:val="28"/>
        </w:rPr>
        <w:t>一、总  则</w:t>
      </w:r>
      <w:bookmarkEnd w:id="71"/>
      <w:bookmarkEnd w:id="72"/>
      <w:bookmarkEnd w:id="73"/>
      <w:bookmarkEnd w:id="74"/>
      <w:bookmarkEnd w:id="75"/>
    </w:p>
    <w:p>
      <w:pPr>
        <w:pStyle w:val="5"/>
        <w:numPr>
          <w:ilvl w:val="0"/>
          <w:numId w:val="5"/>
        </w:numPr>
        <w:spacing w:before="0" w:after="0"/>
        <w:jc w:val="both"/>
        <w:rPr>
          <w:rFonts w:hAnsi="宋体"/>
          <w:szCs w:val="24"/>
        </w:rPr>
      </w:pPr>
      <w:bookmarkStart w:id="76" w:name="_Toc14789"/>
      <w:bookmarkStart w:id="77" w:name="_Toc337822214"/>
      <w:bookmarkStart w:id="78" w:name="_Toc24250"/>
      <w:bookmarkStart w:id="79" w:name="_Toc12034"/>
      <w:r>
        <w:rPr>
          <w:rFonts w:hAnsi="宋体"/>
          <w:szCs w:val="24"/>
        </w:rPr>
        <w:t>项目概况</w:t>
      </w:r>
      <w:bookmarkEnd w:id="76"/>
      <w:bookmarkEnd w:id="77"/>
      <w:bookmarkEnd w:id="78"/>
      <w:bookmarkEnd w:id="79"/>
    </w:p>
    <w:p>
      <w:pPr>
        <w:spacing w:line="360" w:lineRule="auto"/>
        <w:ind w:firstLine="480" w:firstLineChars="200"/>
        <w:jc w:val="left"/>
        <w:rPr>
          <w:rFonts w:ascii="宋体" w:hAnsi="宋体"/>
          <w:sz w:val="24"/>
        </w:rPr>
      </w:pPr>
      <w:r>
        <w:rPr>
          <w:rFonts w:ascii="宋体" w:hAnsi="宋体"/>
          <w:sz w:val="24"/>
        </w:rPr>
        <w:t>1.1 根据《中华人民共和国政府采购法》等有关法律、法规和规章的规定，本项目已具备竞争性磋商条件，现对本次</w:t>
      </w:r>
      <w:r>
        <w:rPr>
          <w:rFonts w:hint="eastAsia" w:ascii="宋体" w:hAnsi="宋体"/>
          <w:sz w:val="24"/>
        </w:rPr>
        <w:t>服务</w:t>
      </w:r>
      <w:r>
        <w:rPr>
          <w:rFonts w:ascii="宋体" w:hAnsi="宋体"/>
          <w:sz w:val="24"/>
        </w:rPr>
        <w:t>采购进行竞争性磋商采购。</w:t>
      </w:r>
    </w:p>
    <w:p>
      <w:pPr>
        <w:spacing w:line="360" w:lineRule="auto"/>
        <w:ind w:firstLine="480" w:firstLineChars="200"/>
        <w:jc w:val="left"/>
        <w:rPr>
          <w:rFonts w:ascii="宋体" w:hAnsi="宋体"/>
          <w:sz w:val="24"/>
        </w:rPr>
      </w:pPr>
      <w:r>
        <w:rPr>
          <w:rFonts w:ascii="宋体" w:hAnsi="宋体"/>
          <w:sz w:val="24"/>
        </w:rPr>
        <w:t>1.2 本项目采购人、采购代理机构、项目名称及项目编号：见“</w:t>
      </w:r>
      <w:r>
        <w:rPr>
          <w:rFonts w:ascii="宋体" w:hAnsi="宋体"/>
          <w:b/>
          <w:bCs/>
          <w:sz w:val="24"/>
        </w:rPr>
        <w:t>供应商须知前附表</w:t>
      </w:r>
      <w:r>
        <w:rPr>
          <w:rFonts w:ascii="宋体" w:hAnsi="宋体"/>
          <w:sz w:val="24"/>
        </w:rPr>
        <w:t>”。</w:t>
      </w:r>
    </w:p>
    <w:p>
      <w:pPr>
        <w:pStyle w:val="5"/>
        <w:numPr>
          <w:ilvl w:val="0"/>
          <w:numId w:val="5"/>
        </w:numPr>
        <w:spacing w:before="0" w:after="0"/>
        <w:jc w:val="both"/>
        <w:rPr>
          <w:rFonts w:hAnsi="宋体"/>
          <w:szCs w:val="24"/>
        </w:rPr>
      </w:pPr>
      <w:bookmarkStart w:id="80" w:name="_Toc265142411"/>
      <w:bookmarkStart w:id="81" w:name="_Toc337822215"/>
      <w:bookmarkStart w:id="82" w:name="_Toc25891"/>
      <w:bookmarkStart w:id="83" w:name="_Toc27903"/>
      <w:bookmarkStart w:id="84" w:name="_Toc16584"/>
      <w:r>
        <w:rPr>
          <w:rFonts w:hAnsi="宋体"/>
          <w:szCs w:val="24"/>
        </w:rPr>
        <w:t>资金来源</w:t>
      </w:r>
      <w:bookmarkEnd w:id="80"/>
      <w:bookmarkEnd w:id="81"/>
      <w:bookmarkEnd w:id="82"/>
      <w:bookmarkEnd w:id="83"/>
      <w:bookmarkEnd w:id="84"/>
    </w:p>
    <w:p>
      <w:pPr>
        <w:spacing w:line="360" w:lineRule="auto"/>
        <w:ind w:firstLine="480" w:firstLineChars="200"/>
        <w:jc w:val="left"/>
        <w:rPr>
          <w:rFonts w:ascii="宋体" w:hAnsi="宋体"/>
          <w:color w:val="FF0000"/>
          <w:sz w:val="24"/>
        </w:rPr>
      </w:pPr>
      <w:r>
        <w:rPr>
          <w:rFonts w:ascii="宋体" w:hAnsi="宋体"/>
          <w:sz w:val="24"/>
        </w:rPr>
        <w:t>2.1 “</w:t>
      </w:r>
      <w:r>
        <w:rPr>
          <w:rFonts w:ascii="宋体" w:hAnsi="宋体"/>
          <w:b/>
          <w:bCs/>
          <w:sz w:val="24"/>
        </w:rPr>
        <w:t>供应商须知前附表</w:t>
      </w:r>
      <w:r>
        <w:rPr>
          <w:rFonts w:ascii="宋体" w:hAnsi="宋体"/>
          <w:sz w:val="24"/>
        </w:rPr>
        <w:t>”中所述的采购人已获得一笔政府采购资金，用于采购“</w:t>
      </w:r>
      <w:r>
        <w:rPr>
          <w:rFonts w:hint="eastAsia" w:ascii="宋体" w:hAnsi="宋体"/>
          <w:b/>
          <w:bCs/>
          <w:sz w:val="24"/>
        </w:rPr>
        <w:t>服务需求</w:t>
      </w:r>
      <w:r>
        <w:rPr>
          <w:rFonts w:ascii="宋体" w:hAnsi="宋体"/>
          <w:sz w:val="24"/>
        </w:rPr>
        <w:t>”</w:t>
      </w:r>
      <w:r>
        <w:rPr>
          <w:rFonts w:hint="eastAsia" w:ascii="宋体" w:hAnsi="宋体"/>
          <w:sz w:val="24"/>
        </w:rPr>
        <w:t>所列项目的产品</w:t>
      </w:r>
      <w:r>
        <w:rPr>
          <w:rFonts w:ascii="宋体" w:hAnsi="宋体"/>
          <w:sz w:val="24"/>
        </w:rPr>
        <w:t>。</w:t>
      </w:r>
      <w:r>
        <w:rPr>
          <w:rFonts w:hint="eastAsia" w:ascii="宋体" w:hAnsi="宋体"/>
          <w:sz w:val="24"/>
        </w:rPr>
        <w:t>项目预算金额见“</w:t>
      </w:r>
      <w:r>
        <w:rPr>
          <w:rFonts w:hint="eastAsia" w:ascii="宋体" w:hAnsi="宋体"/>
          <w:b/>
          <w:sz w:val="24"/>
        </w:rPr>
        <w:t>供应商须知前附表</w:t>
      </w:r>
      <w:r>
        <w:rPr>
          <w:rFonts w:hint="eastAsia" w:ascii="宋体" w:hAnsi="宋体"/>
          <w:sz w:val="24"/>
        </w:rPr>
        <w:t>”。</w:t>
      </w:r>
    </w:p>
    <w:p>
      <w:pPr>
        <w:pStyle w:val="5"/>
        <w:numPr>
          <w:ilvl w:val="0"/>
          <w:numId w:val="5"/>
        </w:numPr>
        <w:spacing w:before="0" w:after="0"/>
        <w:jc w:val="both"/>
        <w:rPr>
          <w:rFonts w:hAnsi="宋体"/>
          <w:szCs w:val="24"/>
        </w:rPr>
      </w:pPr>
      <w:bookmarkStart w:id="85" w:name="_Toc337822216"/>
      <w:bookmarkStart w:id="86" w:name="_Toc6399"/>
      <w:bookmarkStart w:id="87" w:name="_Toc24581"/>
      <w:bookmarkStart w:id="88" w:name="_Toc265142412"/>
      <w:bookmarkStart w:id="89" w:name="_Toc292"/>
      <w:r>
        <w:rPr>
          <w:rFonts w:hint="eastAsia" w:hAnsi="宋体"/>
        </w:rPr>
        <w:t>服务</w:t>
      </w:r>
      <w:r>
        <w:rPr>
          <w:rFonts w:hAnsi="宋体"/>
        </w:rPr>
        <w:t>范围</w:t>
      </w:r>
      <w:r>
        <w:rPr>
          <w:rFonts w:hAnsi="宋体"/>
          <w:szCs w:val="24"/>
        </w:rPr>
        <w:t>及</w:t>
      </w:r>
      <w:bookmarkEnd w:id="85"/>
      <w:bookmarkEnd w:id="86"/>
      <w:bookmarkEnd w:id="87"/>
      <w:bookmarkEnd w:id="88"/>
      <w:r>
        <w:rPr>
          <w:rFonts w:hint="eastAsia" w:hAnsi="宋体"/>
        </w:rPr>
        <w:t>服务期限</w:t>
      </w:r>
      <w:bookmarkEnd w:id="89"/>
    </w:p>
    <w:p>
      <w:pPr>
        <w:spacing w:line="360" w:lineRule="auto"/>
        <w:ind w:firstLine="480" w:firstLineChars="200"/>
        <w:jc w:val="left"/>
        <w:rPr>
          <w:rFonts w:ascii="宋体" w:hAnsi="宋体"/>
          <w:sz w:val="24"/>
        </w:rPr>
      </w:pPr>
      <w:r>
        <w:rPr>
          <w:rFonts w:ascii="宋体" w:hAnsi="宋体"/>
          <w:sz w:val="24"/>
        </w:rPr>
        <w:t>3.1 本项目</w:t>
      </w:r>
      <w:r>
        <w:rPr>
          <w:rFonts w:hint="eastAsia" w:ascii="宋体" w:hAnsi="宋体"/>
          <w:sz w:val="24"/>
        </w:rPr>
        <w:t>服务</w:t>
      </w:r>
      <w:r>
        <w:rPr>
          <w:rFonts w:ascii="宋体" w:hAnsi="宋体"/>
          <w:sz w:val="24"/>
        </w:rPr>
        <w:t>范围：见“</w:t>
      </w:r>
      <w:r>
        <w:rPr>
          <w:rFonts w:ascii="宋体" w:hAnsi="宋体"/>
          <w:b/>
          <w:bCs/>
          <w:sz w:val="24"/>
        </w:rPr>
        <w:t>供应商须知前附表</w:t>
      </w:r>
      <w:r>
        <w:rPr>
          <w:rFonts w:ascii="宋体" w:hAnsi="宋体"/>
          <w:sz w:val="24"/>
        </w:rPr>
        <w:t>”。</w:t>
      </w:r>
    </w:p>
    <w:p>
      <w:pPr>
        <w:spacing w:line="360" w:lineRule="auto"/>
        <w:ind w:firstLine="480" w:firstLineChars="200"/>
        <w:jc w:val="left"/>
        <w:rPr>
          <w:rFonts w:ascii="宋体" w:hAnsi="宋体"/>
          <w:sz w:val="24"/>
        </w:rPr>
      </w:pPr>
      <w:r>
        <w:rPr>
          <w:rFonts w:ascii="宋体" w:hAnsi="宋体"/>
          <w:sz w:val="24"/>
        </w:rPr>
        <w:t>3.2 本项目</w:t>
      </w:r>
      <w:r>
        <w:rPr>
          <w:rFonts w:hint="eastAsia" w:ascii="宋体" w:hAnsi="宋体"/>
          <w:sz w:val="24"/>
        </w:rPr>
        <w:t>服务期限</w:t>
      </w:r>
      <w:r>
        <w:rPr>
          <w:rFonts w:ascii="宋体" w:hAnsi="宋体"/>
          <w:sz w:val="24"/>
        </w:rPr>
        <w:t>：见“</w:t>
      </w:r>
      <w:r>
        <w:rPr>
          <w:rFonts w:ascii="宋体" w:hAnsi="宋体"/>
          <w:b/>
          <w:bCs/>
          <w:sz w:val="24"/>
        </w:rPr>
        <w:t>供应商须知前附表</w:t>
      </w:r>
      <w:r>
        <w:rPr>
          <w:rFonts w:ascii="宋体" w:hAnsi="宋体"/>
          <w:sz w:val="24"/>
        </w:rPr>
        <w:t>”。</w:t>
      </w:r>
    </w:p>
    <w:p>
      <w:pPr>
        <w:pStyle w:val="5"/>
        <w:numPr>
          <w:ilvl w:val="0"/>
          <w:numId w:val="5"/>
        </w:numPr>
        <w:spacing w:before="0" w:after="0"/>
        <w:jc w:val="both"/>
        <w:rPr>
          <w:rFonts w:hAnsi="宋体"/>
          <w:szCs w:val="24"/>
        </w:rPr>
      </w:pPr>
      <w:bookmarkStart w:id="90" w:name="_Toc337822217"/>
      <w:bookmarkStart w:id="91" w:name="_Toc28550"/>
      <w:bookmarkStart w:id="92" w:name="_Toc7442"/>
      <w:bookmarkStart w:id="93" w:name="_Toc4538"/>
      <w:r>
        <w:rPr>
          <w:rFonts w:hAnsi="宋体"/>
          <w:b w:val="0"/>
        </w:rPr>
        <w:t>★</w:t>
      </w:r>
      <w:r>
        <w:rPr>
          <w:rFonts w:hAnsi="宋体"/>
          <w:szCs w:val="24"/>
        </w:rPr>
        <w:t>合格的供应商（以下简称供应商）</w:t>
      </w:r>
      <w:bookmarkEnd w:id="90"/>
      <w:bookmarkEnd w:id="91"/>
      <w:bookmarkEnd w:id="92"/>
      <w:bookmarkEnd w:id="93"/>
    </w:p>
    <w:p>
      <w:pPr>
        <w:spacing w:line="360" w:lineRule="auto"/>
        <w:ind w:firstLine="480" w:firstLineChars="200"/>
        <w:jc w:val="left"/>
        <w:rPr>
          <w:rFonts w:ascii="宋体" w:hAnsi="宋体"/>
          <w:sz w:val="24"/>
        </w:rPr>
      </w:pPr>
      <w:bookmarkStart w:id="94" w:name="_Hlt200176664"/>
      <w:bookmarkEnd w:id="94"/>
      <w:r>
        <w:rPr>
          <w:rFonts w:ascii="宋体" w:hAnsi="宋体"/>
          <w:sz w:val="24"/>
        </w:rPr>
        <w:t>4.1 参加磋商的供应商应具备《中华人民共和国政府采购法》第二十二条规定的条件。</w:t>
      </w:r>
    </w:p>
    <w:p>
      <w:pPr>
        <w:spacing w:line="360" w:lineRule="auto"/>
        <w:ind w:firstLine="480" w:firstLineChars="200"/>
        <w:jc w:val="left"/>
        <w:rPr>
          <w:rFonts w:ascii="宋体" w:hAnsi="宋体"/>
          <w:sz w:val="24"/>
        </w:rPr>
      </w:pPr>
      <w:r>
        <w:rPr>
          <w:rFonts w:ascii="宋体" w:hAnsi="宋体"/>
          <w:sz w:val="24"/>
        </w:rPr>
        <w:t xml:space="preserve">4.2 参加磋商的供应商应符合采购人根据采购项目的特殊要求规定的特定条件。特定条件见 </w:t>
      </w:r>
      <w:r>
        <w:rPr>
          <w:rFonts w:ascii="宋体" w:hAnsi="宋体"/>
          <w:b/>
          <w:sz w:val="24"/>
        </w:rPr>
        <w:t>“供应商须知前附表”</w:t>
      </w:r>
      <w:r>
        <w:rPr>
          <w:rFonts w:ascii="宋体" w:hAnsi="宋体"/>
          <w:sz w:val="24"/>
        </w:rPr>
        <w:t>。</w:t>
      </w:r>
    </w:p>
    <w:p>
      <w:pPr>
        <w:spacing w:line="360" w:lineRule="auto"/>
        <w:ind w:firstLine="480" w:firstLineChars="200"/>
        <w:jc w:val="left"/>
        <w:rPr>
          <w:rFonts w:ascii="宋体"/>
          <w:sz w:val="24"/>
        </w:rPr>
      </w:pPr>
      <w:r>
        <w:rPr>
          <w:rFonts w:ascii="宋体" w:hAnsi="宋体"/>
          <w:sz w:val="24"/>
        </w:rPr>
        <w:t>4.</w:t>
      </w:r>
      <w:r>
        <w:rPr>
          <w:rFonts w:hint="eastAsia" w:ascii="宋体" w:hAnsi="宋体"/>
          <w:sz w:val="24"/>
        </w:rPr>
        <w:t>3</w:t>
      </w:r>
      <w:r>
        <w:rPr>
          <w:rFonts w:ascii="宋体" w:hAnsi="宋体"/>
          <w:sz w:val="24"/>
        </w:rPr>
        <w:t>参加磋商的供应商不得直接或间接地与为本次采购的</w:t>
      </w:r>
      <w:r>
        <w:rPr>
          <w:rFonts w:hint="eastAsia" w:ascii="宋体" w:hAnsi="宋体"/>
          <w:sz w:val="24"/>
        </w:rPr>
        <w:t>服务</w:t>
      </w:r>
      <w:r>
        <w:rPr>
          <w:rFonts w:ascii="宋体" w:hAnsi="宋体"/>
          <w:sz w:val="24"/>
        </w:rPr>
        <w:t>进行设计、编制规范和其他文件的咨询公司、采购人或其附属机构有任何关联。</w:t>
      </w:r>
    </w:p>
    <w:p>
      <w:pPr>
        <w:spacing w:line="360" w:lineRule="auto"/>
        <w:ind w:left="502"/>
        <w:jc w:val="left"/>
        <w:rPr>
          <w:rFonts w:ascii="宋体" w:hAnsi="宋体"/>
          <w:sz w:val="24"/>
        </w:rPr>
      </w:pPr>
      <w:r>
        <w:rPr>
          <w:rFonts w:ascii="宋体" w:hAnsi="宋体"/>
          <w:sz w:val="24"/>
        </w:rPr>
        <w:t>4.</w:t>
      </w:r>
      <w:r>
        <w:rPr>
          <w:rFonts w:hint="eastAsia" w:ascii="宋体" w:hAnsi="宋体"/>
          <w:sz w:val="24"/>
        </w:rPr>
        <w:t>4</w:t>
      </w:r>
      <w:r>
        <w:rPr>
          <w:rFonts w:ascii="宋体" w:hAnsi="宋体"/>
          <w:sz w:val="24"/>
        </w:rPr>
        <w:t>本项目不接受联合体参加磋商。</w:t>
      </w:r>
    </w:p>
    <w:p>
      <w:pPr>
        <w:spacing w:line="360" w:lineRule="auto"/>
        <w:ind w:left="502"/>
        <w:jc w:val="left"/>
        <w:rPr>
          <w:rFonts w:ascii="宋体" w:hAnsi="宋体"/>
          <w:sz w:val="24"/>
        </w:rPr>
      </w:pPr>
      <w:r>
        <w:rPr>
          <w:rFonts w:ascii="宋体" w:hAnsi="宋体"/>
          <w:sz w:val="24"/>
        </w:rPr>
        <w:t>4.</w:t>
      </w:r>
      <w:r>
        <w:rPr>
          <w:rFonts w:hint="eastAsia" w:ascii="宋体" w:hAnsi="宋体"/>
          <w:sz w:val="24"/>
        </w:rPr>
        <w:t>5</w:t>
      </w:r>
      <w:r>
        <w:rPr>
          <w:rFonts w:ascii="宋体" w:hAnsi="宋体"/>
          <w:sz w:val="24"/>
        </w:rPr>
        <w:t>符合上述条件的供应商应承担磋商及履约中应承担的全部责任与义务。</w:t>
      </w:r>
    </w:p>
    <w:p>
      <w:pPr>
        <w:pStyle w:val="5"/>
        <w:numPr>
          <w:ilvl w:val="0"/>
          <w:numId w:val="5"/>
        </w:numPr>
        <w:spacing w:before="0" w:after="0"/>
        <w:jc w:val="both"/>
        <w:rPr>
          <w:rFonts w:hAnsi="宋体"/>
          <w:szCs w:val="24"/>
        </w:rPr>
      </w:pPr>
      <w:bookmarkStart w:id="95" w:name="_Toc6965"/>
      <w:bookmarkStart w:id="96" w:name="_Toc4885"/>
      <w:bookmarkStart w:id="97" w:name="_Toc337822218"/>
      <w:bookmarkStart w:id="98" w:name="_Toc4842"/>
      <w:r>
        <w:rPr>
          <w:rFonts w:hAnsi="宋体"/>
          <w:szCs w:val="24"/>
        </w:rPr>
        <w:t>磋商费用</w:t>
      </w:r>
      <w:bookmarkEnd w:id="95"/>
      <w:bookmarkEnd w:id="96"/>
      <w:bookmarkEnd w:id="97"/>
      <w:bookmarkEnd w:id="98"/>
    </w:p>
    <w:p>
      <w:pPr>
        <w:spacing w:line="360" w:lineRule="auto"/>
        <w:ind w:firstLine="480" w:firstLineChars="200"/>
        <w:rPr>
          <w:rFonts w:ascii="宋体" w:hAnsi="宋体"/>
          <w:sz w:val="24"/>
        </w:rPr>
      </w:pPr>
      <w:r>
        <w:rPr>
          <w:rFonts w:ascii="宋体" w:hAnsi="宋体"/>
          <w:sz w:val="24"/>
        </w:rPr>
        <w:t>无论是否成交，供应商自行承担所有与参加磋商有关的全部费用。</w:t>
      </w:r>
    </w:p>
    <w:p>
      <w:pPr>
        <w:pStyle w:val="4"/>
        <w:numPr>
          <w:ilvl w:val="0"/>
          <w:numId w:val="0"/>
        </w:numPr>
        <w:spacing w:before="0" w:after="0"/>
        <w:ind w:left="425"/>
        <w:rPr>
          <w:rFonts w:ascii="宋体" w:hAnsi="宋体"/>
          <w:sz w:val="24"/>
          <w:szCs w:val="24"/>
        </w:rPr>
      </w:pPr>
      <w:bookmarkStart w:id="99" w:name="_Toc337822219"/>
      <w:bookmarkStart w:id="100" w:name="_Toc18120"/>
      <w:bookmarkStart w:id="101" w:name="_Toc86124047"/>
      <w:bookmarkStart w:id="102" w:name="_Toc3519"/>
      <w:bookmarkStart w:id="103" w:name="_Toc16045"/>
      <w:r>
        <w:rPr>
          <w:rFonts w:ascii="宋体" w:hAnsi="宋体"/>
          <w:sz w:val="24"/>
          <w:szCs w:val="24"/>
        </w:rPr>
        <w:t>二、磋商文件</w:t>
      </w:r>
      <w:bookmarkEnd w:id="99"/>
      <w:bookmarkEnd w:id="100"/>
      <w:bookmarkEnd w:id="101"/>
      <w:bookmarkEnd w:id="102"/>
      <w:bookmarkEnd w:id="103"/>
    </w:p>
    <w:p>
      <w:pPr>
        <w:pStyle w:val="5"/>
        <w:numPr>
          <w:ilvl w:val="0"/>
          <w:numId w:val="5"/>
        </w:numPr>
        <w:spacing w:before="0" w:after="0"/>
        <w:jc w:val="both"/>
        <w:rPr>
          <w:rFonts w:hAnsi="宋体"/>
          <w:szCs w:val="24"/>
        </w:rPr>
      </w:pPr>
      <w:bookmarkStart w:id="104" w:name="_Toc337822220"/>
      <w:bookmarkStart w:id="105" w:name="_Toc2256"/>
      <w:bookmarkStart w:id="106" w:name="_Toc21805"/>
      <w:bookmarkStart w:id="107" w:name="_Toc5340"/>
      <w:r>
        <w:rPr>
          <w:rFonts w:hAnsi="宋体"/>
          <w:szCs w:val="24"/>
        </w:rPr>
        <w:t>磋商文件的组成</w:t>
      </w:r>
      <w:bookmarkEnd w:id="104"/>
      <w:bookmarkEnd w:id="105"/>
      <w:bookmarkEnd w:id="106"/>
      <w:bookmarkEnd w:id="107"/>
    </w:p>
    <w:p>
      <w:pPr>
        <w:spacing w:line="360" w:lineRule="auto"/>
        <w:ind w:firstLine="480" w:firstLineChars="200"/>
        <w:jc w:val="left"/>
        <w:rPr>
          <w:rFonts w:ascii="宋体" w:hAnsi="宋体"/>
          <w:sz w:val="24"/>
        </w:rPr>
      </w:pPr>
      <w:r>
        <w:rPr>
          <w:rFonts w:ascii="宋体" w:hAnsi="宋体"/>
          <w:sz w:val="24"/>
        </w:rPr>
        <w:t>要求提供的</w:t>
      </w:r>
      <w:r>
        <w:rPr>
          <w:rFonts w:hint="eastAsia" w:ascii="宋体" w:hAnsi="宋体"/>
          <w:sz w:val="24"/>
        </w:rPr>
        <w:t>服务</w:t>
      </w:r>
      <w:r>
        <w:rPr>
          <w:rFonts w:ascii="宋体" w:hAnsi="宋体"/>
          <w:sz w:val="24"/>
        </w:rPr>
        <w:t>、采购过程及合同条款在磋商文件中均有说明，磋商文件共六章，各章的内容如下：</w:t>
      </w:r>
    </w:p>
    <w:p>
      <w:pPr>
        <w:spacing w:line="360" w:lineRule="auto"/>
        <w:ind w:firstLine="720" w:firstLineChars="300"/>
        <w:jc w:val="left"/>
        <w:rPr>
          <w:rFonts w:ascii="宋体" w:hAnsi="宋体"/>
          <w:sz w:val="24"/>
        </w:rPr>
      </w:pPr>
      <w:r>
        <w:rPr>
          <w:rFonts w:ascii="宋体" w:hAnsi="宋体"/>
          <w:sz w:val="24"/>
        </w:rPr>
        <w:t>第一章  磋商邀请书</w:t>
      </w:r>
    </w:p>
    <w:p>
      <w:pPr>
        <w:spacing w:line="360" w:lineRule="auto"/>
        <w:ind w:firstLine="720" w:firstLineChars="300"/>
        <w:jc w:val="left"/>
        <w:rPr>
          <w:rFonts w:ascii="宋体" w:hAnsi="宋体"/>
          <w:sz w:val="24"/>
        </w:rPr>
      </w:pPr>
      <w:r>
        <w:rPr>
          <w:rFonts w:ascii="宋体" w:hAnsi="宋体"/>
          <w:sz w:val="24"/>
        </w:rPr>
        <w:t>第二章  供应商须知</w:t>
      </w:r>
    </w:p>
    <w:p>
      <w:pPr>
        <w:spacing w:line="360" w:lineRule="auto"/>
        <w:ind w:firstLine="720" w:firstLineChars="300"/>
        <w:jc w:val="left"/>
        <w:rPr>
          <w:rFonts w:ascii="宋体" w:hAnsi="宋体"/>
          <w:sz w:val="24"/>
        </w:rPr>
      </w:pPr>
      <w:r>
        <w:rPr>
          <w:rFonts w:ascii="宋体" w:hAnsi="宋体"/>
          <w:sz w:val="24"/>
        </w:rPr>
        <w:t>第三章  合同书样式及主要条款</w:t>
      </w:r>
    </w:p>
    <w:p>
      <w:pPr>
        <w:spacing w:line="360" w:lineRule="auto"/>
        <w:ind w:firstLine="720" w:firstLineChars="300"/>
        <w:jc w:val="left"/>
        <w:rPr>
          <w:rFonts w:ascii="宋体" w:hAnsi="宋体"/>
          <w:sz w:val="24"/>
        </w:rPr>
      </w:pPr>
      <w:r>
        <w:rPr>
          <w:rFonts w:ascii="宋体" w:hAnsi="宋体"/>
          <w:sz w:val="24"/>
        </w:rPr>
        <w:t>第四章  响应文件格式</w:t>
      </w:r>
    </w:p>
    <w:p>
      <w:pPr>
        <w:spacing w:line="360" w:lineRule="auto"/>
        <w:ind w:firstLine="720" w:firstLineChars="300"/>
        <w:jc w:val="left"/>
        <w:rPr>
          <w:rFonts w:ascii="宋体" w:hAnsi="宋体"/>
          <w:sz w:val="24"/>
        </w:rPr>
      </w:pPr>
      <w:r>
        <w:rPr>
          <w:rFonts w:ascii="宋体" w:hAnsi="宋体"/>
          <w:sz w:val="24"/>
        </w:rPr>
        <w:t xml:space="preserve">第五章  </w:t>
      </w:r>
      <w:r>
        <w:rPr>
          <w:rFonts w:hint="eastAsia" w:ascii="宋体" w:hAnsi="宋体"/>
          <w:sz w:val="24"/>
        </w:rPr>
        <w:t>服务</w:t>
      </w:r>
      <w:r>
        <w:rPr>
          <w:rFonts w:ascii="宋体" w:hAnsi="宋体"/>
          <w:sz w:val="24"/>
        </w:rPr>
        <w:t>需求</w:t>
      </w:r>
    </w:p>
    <w:p>
      <w:pPr>
        <w:spacing w:line="360" w:lineRule="auto"/>
        <w:ind w:firstLine="720" w:firstLineChars="300"/>
        <w:jc w:val="left"/>
        <w:rPr>
          <w:rFonts w:ascii="宋体" w:hAnsi="宋体"/>
          <w:sz w:val="24"/>
        </w:rPr>
      </w:pPr>
      <w:r>
        <w:rPr>
          <w:rFonts w:ascii="宋体" w:hAnsi="宋体"/>
          <w:sz w:val="24"/>
        </w:rPr>
        <w:t>第六章  评审</w:t>
      </w:r>
    </w:p>
    <w:p>
      <w:pPr>
        <w:pStyle w:val="5"/>
        <w:numPr>
          <w:ilvl w:val="0"/>
          <w:numId w:val="5"/>
        </w:numPr>
        <w:spacing w:before="0" w:after="0"/>
        <w:jc w:val="both"/>
        <w:rPr>
          <w:rFonts w:hAnsi="宋体"/>
          <w:szCs w:val="24"/>
        </w:rPr>
      </w:pPr>
      <w:bookmarkStart w:id="108" w:name="_Toc86124049"/>
      <w:bookmarkStart w:id="109" w:name="_Toc337822221"/>
      <w:bookmarkStart w:id="110" w:name="_Toc17732"/>
      <w:bookmarkStart w:id="111" w:name="_Toc11633"/>
      <w:bookmarkStart w:id="112" w:name="_Toc3996"/>
      <w:r>
        <w:rPr>
          <w:rFonts w:hAnsi="宋体"/>
          <w:szCs w:val="24"/>
        </w:rPr>
        <w:t>磋商文件的澄清</w:t>
      </w:r>
      <w:bookmarkEnd w:id="108"/>
      <w:r>
        <w:rPr>
          <w:rFonts w:hAnsi="宋体"/>
          <w:szCs w:val="24"/>
        </w:rPr>
        <w:t>、修改</w:t>
      </w:r>
      <w:bookmarkEnd w:id="109"/>
      <w:bookmarkEnd w:id="110"/>
      <w:bookmarkEnd w:id="111"/>
      <w:bookmarkEnd w:id="112"/>
    </w:p>
    <w:p>
      <w:pPr>
        <w:spacing w:line="360" w:lineRule="auto"/>
        <w:ind w:firstLine="480" w:firstLineChars="200"/>
        <w:jc w:val="left"/>
        <w:rPr>
          <w:rFonts w:ascii="宋体" w:hAnsi="宋体"/>
          <w:sz w:val="24"/>
        </w:rPr>
      </w:pPr>
      <w:r>
        <w:rPr>
          <w:rFonts w:ascii="宋体" w:hAnsi="宋体"/>
          <w:sz w:val="24"/>
        </w:rPr>
        <w:t>7.1 参加磋商供应商应认真审核第五章“服务需求”中的技术参数、配置及要求，如发现</w:t>
      </w:r>
      <w:r>
        <w:rPr>
          <w:rFonts w:hint="eastAsia" w:ascii="宋体" w:hAnsi="宋体"/>
          <w:sz w:val="24"/>
        </w:rPr>
        <w:t>其</w:t>
      </w:r>
      <w:r>
        <w:rPr>
          <w:rFonts w:ascii="宋体" w:hAnsi="宋体"/>
          <w:sz w:val="24"/>
        </w:rPr>
        <w:t>中技术参数、配置有误或要求不合理的，应在递交响应文件的截止时间前一天以书面形式（加盖鲜章）要求采购代理机构澄清。在规定时间内，对磋商文件未提出异议，即视为默认磋商文件的全部内容。</w:t>
      </w:r>
    </w:p>
    <w:p>
      <w:pPr>
        <w:spacing w:line="360" w:lineRule="auto"/>
        <w:ind w:firstLine="480" w:firstLineChars="200"/>
        <w:jc w:val="left"/>
        <w:rPr>
          <w:rFonts w:ascii="宋体" w:hAnsi="宋体"/>
          <w:sz w:val="24"/>
        </w:rPr>
      </w:pPr>
      <w:r>
        <w:rPr>
          <w:rFonts w:ascii="宋体" w:hAnsi="宋体"/>
          <w:sz w:val="24"/>
        </w:rPr>
        <w:t>7.2 采购代理机构将视情况予以书面或网上发布公告形式（</w:t>
      </w:r>
      <w:r>
        <w:rPr>
          <w:rFonts w:hint="eastAsia" w:ascii="宋体" w:hAnsi="宋体"/>
          <w:sz w:val="24"/>
        </w:rPr>
        <w:t>网站详见磋商公告</w:t>
      </w:r>
      <w:r>
        <w:rPr>
          <w:rFonts w:ascii="宋体" w:hAnsi="宋体"/>
          <w:sz w:val="24"/>
        </w:rPr>
        <w:t>）答复所有购买磋商文件的供应商（答复中不包含问题的来源）要求澄清的问题，其他澄清方式无效。</w:t>
      </w:r>
    </w:p>
    <w:p>
      <w:pPr>
        <w:spacing w:line="360" w:lineRule="auto"/>
        <w:ind w:firstLine="480" w:firstLineChars="200"/>
        <w:jc w:val="left"/>
        <w:rPr>
          <w:rFonts w:ascii="宋体" w:hAnsi="宋体"/>
          <w:sz w:val="24"/>
        </w:rPr>
      </w:pPr>
      <w:r>
        <w:rPr>
          <w:rFonts w:ascii="宋体" w:hAnsi="宋体"/>
          <w:sz w:val="24"/>
        </w:rPr>
        <w:t>7.3 磋商文件澄清联系方式见“</w:t>
      </w:r>
      <w:r>
        <w:rPr>
          <w:rFonts w:ascii="宋体" w:hAnsi="宋体"/>
          <w:b/>
          <w:sz w:val="24"/>
        </w:rPr>
        <w:t>供应商须知前附表</w:t>
      </w:r>
      <w:r>
        <w:rPr>
          <w:rFonts w:ascii="宋体" w:hAnsi="宋体"/>
          <w:sz w:val="24"/>
        </w:rPr>
        <w:t>”。</w:t>
      </w:r>
    </w:p>
    <w:p>
      <w:pPr>
        <w:spacing w:line="360" w:lineRule="auto"/>
        <w:ind w:firstLine="480" w:firstLineChars="200"/>
        <w:jc w:val="left"/>
        <w:rPr>
          <w:rFonts w:ascii="宋体" w:hAnsi="宋体"/>
          <w:sz w:val="24"/>
        </w:rPr>
      </w:pPr>
      <w:r>
        <w:rPr>
          <w:rFonts w:ascii="宋体" w:hAnsi="宋体"/>
          <w:sz w:val="24"/>
        </w:rPr>
        <w:t>7.4 采购代理机构对已发出的磋商文件进行必要澄清或者修改的，将以书面形式通知所有磋商文件收受人，该澄清或者修改的内容为磋商文件的组成部分，对采购代理机构和磋商供应商都有同等的约束力。</w:t>
      </w:r>
    </w:p>
    <w:p>
      <w:pPr>
        <w:spacing w:line="360" w:lineRule="auto"/>
        <w:ind w:firstLine="480" w:firstLineChars="200"/>
        <w:jc w:val="left"/>
        <w:rPr>
          <w:rFonts w:ascii="宋体" w:hAnsi="宋体"/>
          <w:sz w:val="24"/>
        </w:rPr>
      </w:pPr>
      <w:r>
        <w:rPr>
          <w:rFonts w:ascii="宋体" w:hAnsi="宋体"/>
          <w:sz w:val="24"/>
        </w:rPr>
        <w:t>7.5采购代理机构和采购人可以视采购具体情况，推迟递交响应文件截止时间，并将变更时间书面通知所有磋商文件收受人。</w:t>
      </w:r>
    </w:p>
    <w:p>
      <w:pPr>
        <w:pStyle w:val="4"/>
        <w:numPr>
          <w:ilvl w:val="0"/>
          <w:numId w:val="0"/>
        </w:numPr>
        <w:spacing w:before="0" w:after="0"/>
        <w:ind w:left="425"/>
        <w:rPr>
          <w:rFonts w:ascii="宋体" w:hAnsi="宋体"/>
          <w:sz w:val="24"/>
          <w:szCs w:val="24"/>
        </w:rPr>
      </w:pPr>
      <w:bookmarkStart w:id="113" w:name="_Toc86124051"/>
      <w:bookmarkStart w:id="114" w:name="_Toc23166"/>
      <w:bookmarkStart w:id="115" w:name="_Toc21986"/>
      <w:bookmarkStart w:id="116" w:name="_Toc337822222"/>
      <w:bookmarkStart w:id="117" w:name="_Toc19047"/>
      <w:r>
        <w:rPr>
          <w:rFonts w:ascii="宋体" w:hAnsi="宋体"/>
          <w:sz w:val="24"/>
          <w:szCs w:val="24"/>
        </w:rPr>
        <w:t>三、响应文件的编制</w:t>
      </w:r>
      <w:bookmarkEnd w:id="113"/>
      <w:bookmarkEnd w:id="114"/>
      <w:bookmarkEnd w:id="115"/>
      <w:bookmarkEnd w:id="116"/>
      <w:bookmarkEnd w:id="117"/>
    </w:p>
    <w:p>
      <w:pPr>
        <w:pStyle w:val="5"/>
        <w:numPr>
          <w:ilvl w:val="0"/>
          <w:numId w:val="5"/>
        </w:numPr>
        <w:spacing w:before="0" w:after="0"/>
        <w:jc w:val="both"/>
        <w:rPr>
          <w:rFonts w:hAnsi="宋体"/>
          <w:szCs w:val="24"/>
        </w:rPr>
      </w:pPr>
      <w:bookmarkStart w:id="118" w:name="_Toc337822223"/>
      <w:bookmarkStart w:id="119" w:name="_Toc12604"/>
      <w:bookmarkStart w:id="120" w:name="_Toc86124052"/>
      <w:bookmarkStart w:id="121" w:name="_Toc9543"/>
      <w:bookmarkStart w:id="122" w:name="_Toc28690"/>
      <w:r>
        <w:rPr>
          <w:rFonts w:hAnsi="宋体"/>
          <w:szCs w:val="24"/>
        </w:rPr>
        <w:t>响应文件编写注意事项</w:t>
      </w:r>
      <w:bookmarkEnd w:id="118"/>
      <w:bookmarkEnd w:id="119"/>
      <w:bookmarkEnd w:id="120"/>
      <w:bookmarkEnd w:id="121"/>
      <w:bookmarkEnd w:id="122"/>
    </w:p>
    <w:p>
      <w:pPr>
        <w:spacing w:line="360" w:lineRule="auto"/>
        <w:ind w:firstLine="480" w:firstLineChars="200"/>
        <w:jc w:val="left"/>
        <w:rPr>
          <w:rFonts w:ascii="宋体" w:hAnsi="宋体"/>
          <w:sz w:val="24"/>
        </w:rPr>
      </w:pPr>
      <w:r>
        <w:rPr>
          <w:rFonts w:ascii="宋体" w:hAnsi="宋体"/>
          <w:sz w:val="24"/>
        </w:rPr>
        <w:t>8.1 供应商应仔细阅读磋商文件，在完全了解采购的内容、技术性能要求（见第五章“</w:t>
      </w:r>
      <w:r>
        <w:rPr>
          <w:rFonts w:hint="eastAsia" w:ascii="宋体" w:hAnsi="宋体"/>
          <w:sz w:val="24"/>
        </w:rPr>
        <w:t>服务需求</w:t>
      </w:r>
      <w:r>
        <w:rPr>
          <w:rFonts w:ascii="宋体" w:hAnsi="宋体"/>
          <w:sz w:val="24"/>
        </w:rPr>
        <w:t>”）和商务条件后，编写响应文件。</w:t>
      </w:r>
    </w:p>
    <w:p>
      <w:pPr>
        <w:spacing w:line="360" w:lineRule="auto"/>
        <w:ind w:firstLine="470" w:firstLineChars="196"/>
        <w:jc w:val="left"/>
        <w:rPr>
          <w:rFonts w:ascii="宋体" w:hAnsi="宋体"/>
          <w:sz w:val="24"/>
        </w:rPr>
      </w:pPr>
      <w:r>
        <w:rPr>
          <w:rFonts w:hint="eastAsia" w:ascii="宋体" w:hAnsi="宋体"/>
          <w:sz w:val="24"/>
        </w:rPr>
        <w:t>8.2 对磋商文件提出的实质性要求作出响应是指供应商必须对磋商文件中规定的实质性要求作出满足或者优于原要求的承诺。</w:t>
      </w:r>
    </w:p>
    <w:p>
      <w:pPr>
        <w:spacing w:line="360" w:lineRule="auto"/>
        <w:ind w:firstLine="470" w:firstLineChars="196"/>
        <w:jc w:val="left"/>
        <w:rPr>
          <w:rFonts w:ascii="宋体" w:hAnsi="宋体"/>
          <w:sz w:val="24"/>
        </w:rPr>
      </w:pPr>
      <w:r>
        <w:rPr>
          <w:rFonts w:ascii="宋体" w:hAnsi="宋体"/>
          <w:sz w:val="24"/>
        </w:rPr>
        <w:t xml:space="preserve">8.3 </w:t>
      </w:r>
      <w:r>
        <w:rPr>
          <w:rFonts w:ascii="宋体" w:hAnsi="宋体"/>
          <w:b/>
          <w:sz w:val="24"/>
        </w:rPr>
        <w:t>磋商文件中注★号的部分为实质性要求。</w:t>
      </w:r>
    </w:p>
    <w:p>
      <w:pPr>
        <w:pStyle w:val="5"/>
        <w:numPr>
          <w:ilvl w:val="0"/>
          <w:numId w:val="5"/>
        </w:numPr>
        <w:spacing w:before="0" w:after="0"/>
        <w:jc w:val="both"/>
        <w:rPr>
          <w:rFonts w:hAnsi="宋体"/>
          <w:szCs w:val="24"/>
        </w:rPr>
      </w:pPr>
      <w:bookmarkStart w:id="123" w:name="_Toc86124054"/>
      <w:bookmarkStart w:id="124" w:name="_Toc21764"/>
      <w:bookmarkStart w:id="125" w:name="_Toc31181"/>
      <w:bookmarkStart w:id="126" w:name="_Toc337822224"/>
      <w:bookmarkStart w:id="127" w:name="_Toc14173"/>
      <w:r>
        <w:rPr>
          <w:rFonts w:hAnsi="宋体"/>
          <w:szCs w:val="24"/>
        </w:rPr>
        <w:t>响应文件构成</w:t>
      </w:r>
      <w:bookmarkEnd w:id="123"/>
      <w:bookmarkEnd w:id="124"/>
      <w:bookmarkEnd w:id="125"/>
      <w:bookmarkEnd w:id="126"/>
      <w:bookmarkEnd w:id="127"/>
    </w:p>
    <w:p>
      <w:pPr>
        <w:spacing w:line="360" w:lineRule="auto"/>
        <w:ind w:left="210"/>
        <w:jc w:val="left"/>
        <w:rPr>
          <w:rFonts w:ascii="宋体"/>
          <w:b/>
          <w:sz w:val="24"/>
        </w:rPr>
      </w:pPr>
      <w:bookmarkStart w:id="128" w:name="_Toc86124056"/>
      <w:bookmarkStart w:id="129" w:name="_Toc8400"/>
      <w:bookmarkStart w:id="130" w:name="_Toc337822225"/>
      <w:bookmarkStart w:id="131" w:name="_Toc27796"/>
      <w:r>
        <w:rPr>
          <w:rFonts w:hint="eastAsia" w:ascii="宋体"/>
          <w:b/>
          <w:sz w:val="24"/>
        </w:rPr>
        <w:t>9.1本项目所述的响应文件包含</w:t>
      </w:r>
      <w:r>
        <w:rPr>
          <w:b/>
          <w:sz w:val="24"/>
        </w:rPr>
        <w:t>电子响应文件</w:t>
      </w:r>
      <w:r>
        <w:rPr>
          <w:rFonts w:hint="eastAsia"/>
          <w:b/>
          <w:sz w:val="24"/>
        </w:rPr>
        <w:t>（含光盘）</w:t>
      </w:r>
      <w:r>
        <w:rPr>
          <w:b/>
          <w:sz w:val="24"/>
        </w:rPr>
        <w:t>和纸质响应文件</w:t>
      </w:r>
      <w:r>
        <w:rPr>
          <w:rFonts w:hint="eastAsia"/>
          <w:b/>
          <w:sz w:val="24"/>
        </w:rPr>
        <w:t>。</w:t>
      </w:r>
    </w:p>
    <w:p>
      <w:pPr>
        <w:spacing w:line="360" w:lineRule="auto"/>
        <w:ind w:firstLine="240" w:firstLineChars="100"/>
        <w:jc w:val="left"/>
        <w:rPr>
          <w:rFonts w:ascii="宋体"/>
          <w:b/>
          <w:sz w:val="24"/>
        </w:rPr>
      </w:pPr>
      <w:r>
        <w:rPr>
          <w:rFonts w:ascii="宋体" w:hAnsi="宋体"/>
          <w:sz w:val="24"/>
        </w:rPr>
        <w:t>9.</w:t>
      </w:r>
      <w:r>
        <w:rPr>
          <w:rFonts w:hint="eastAsia" w:ascii="宋体" w:hAnsi="宋体"/>
          <w:sz w:val="24"/>
        </w:rPr>
        <w:t>2</w:t>
      </w:r>
      <w:r>
        <w:rPr>
          <w:sz w:val="24"/>
        </w:rPr>
        <w:t>供应商编写的响应文件应由下列部分构成，有关文件的提交如未特别注明可提供复印件的，</w:t>
      </w:r>
      <w:r>
        <w:rPr>
          <w:rFonts w:hint="eastAsia"/>
          <w:sz w:val="24"/>
        </w:rPr>
        <w:t>电子响应文件可为原件扫描件</w:t>
      </w:r>
      <w:r>
        <w:rPr>
          <w:sz w:val="24"/>
        </w:rPr>
        <w:t>。</w:t>
      </w:r>
      <w:r>
        <w:rPr>
          <w:rFonts w:hint="eastAsia"/>
          <w:b/>
          <w:sz w:val="24"/>
        </w:rPr>
        <w:t>供应商同时投多个包（若分包时）的，响应文件应按包分别编制，单独成册。</w:t>
      </w:r>
    </w:p>
    <w:p>
      <w:pPr>
        <w:spacing w:line="360" w:lineRule="auto"/>
        <w:ind w:firstLine="480" w:firstLineChars="200"/>
        <w:jc w:val="left"/>
        <w:rPr>
          <w:rFonts w:ascii="宋体" w:hAnsi="宋体"/>
          <w:sz w:val="24"/>
        </w:rPr>
      </w:pPr>
      <w:r>
        <w:rPr>
          <w:rFonts w:ascii="宋体" w:hAnsi="宋体"/>
          <w:sz w:val="24"/>
        </w:rPr>
        <w:t>（1）磋商响应承诺书：按第四章“响应文件格式”提供的格式及要求填写；</w:t>
      </w:r>
    </w:p>
    <w:p>
      <w:pPr>
        <w:spacing w:line="360" w:lineRule="auto"/>
        <w:ind w:firstLine="480" w:firstLineChars="200"/>
        <w:jc w:val="left"/>
        <w:rPr>
          <w:rFonts w:ascii="宋体" w:hAnsi="宋体"/>
          <w:sz w:val="24"/>
        </w:rPr>
      </w:pPr>
      <w:r>
        <w:rPr>
          <w:rFonts w:ascii="宋体" w:hAnsi="宋体"/>
          <w:sz w:val="24"/>
        </w:rPr>
        <w:t>（2）分项报价表：按第四章“响应文件格式”提供的格式及要求填写；</w:t>
      </w:r>
    </w:p>
    <w:p>
      <w:pPr>
        <w:spacing w:line="360" w:lineRule="auto"/>
        <w:ind w:firstLine="480" w:firstLineChars="200"/>
        <w:jc w:val="left"/>
        <w:rPr>
          <w:rFonts w:ascii="宋体" w:hAnsi="宋体"/>
          <w:sz w:val="24"/>
        </w:rPr>
      </w:pPr>
      <w:r>
        <w:rPr>
          <w:rFonts w:ascii="宋体" w:hAnsi="宋体"/>
          <w:sz w:val="24"/>
        </w:rPr>
        <w:t>（3）技术规格偏离表：按第四章“响应文件格式”提供的“技术规格偏离表” 的格式及要求，根据供应商磋商申请的</w:t>
      </w:r>
      <w:r>
        <w:rPr>
          <w:rFonts w:hint="eastAsia" w:ascii="宋体" w:hAnsi="宋体"/>
          <w:sz w:val="24"/>
        </w:rPr>
        <w:t>服务</w:t>
      </w:r>
      <w:r>
        <w:rPr>
          <w:rFonts w:ascii="宋体" w:hAnsi="宋体"/>
          <w:sz w:val="24"/>
        </w:rPr>
        <w:t>与“服务需求”中相关技术规格的差异填写；</w:t>
      </w:r>
    </w:p>
    <w:p>
      <w:pPr>
        <w:spacing w:line="360" w:lineRule="auto"/>
        <w:ind w:firstLine="480" w:firstLineChars="200"/>
        <w:jc w:val="left"/>
        <w:rPr>
          <w:rFonts w:ascii="宋体" w:hAnsi="宋体"/>
          <w:sz w:val="24"/>
        </w:rPr>
      </w:pPr>
      <w:r>
        <w:rPr>
          <w:rFonts w:ascii="宋体" w:hAnsi="宋体"/>
          <w:sz w:val="24"/>
        </w:rPr>
        <w:t>（4）商务条款偏离表：按第四章“响应文件格式”提供的“商务条款偏离表”的格式及要求，根据供应商磋商申请承诺的商务条件与“合同条款”、“合同条款前附表”的差异填写；</w:t>
      </w:r>
    </w:p>
    <w:p>
      <w:pPr>
        <w:spacing w:line="360" w:lineRule="auto"/>
        <w:ind w:firstLine="480" w:firstLineChars="200"/>
        <w:jc w:val="left"/>
        <w:rPr>
          <w:rFonts w:ascii="宋体" w:hAnsi="宋体"/>
          <w:sz w:val="24"/>
        </w:rPr>
      </w:pPr>
      <w:r>
        <w:rPr>
          <w:rFonts w:ascii="宋体" w:hAnsi="宋体"/>
          <w:sz w:val="24"/>
        </w:rPr>
        <w:t>（</w:t>
      </w:r>
      <w:r>
        <w:rPr>
          <w:rFonts w:hint="eastAsia" w:ascii="宋体" w:hAnsi="宋体"/>
          <w:sz w:val="24"/>
        </w:rPr>
        <w:t>5</w:t>
      </w:r>
      <w:r>
        <w:rPr>
          <w:rFonts w:ascii="宋体" w:hAnsi="宋体"/>
          <w:sz w:val="24"/>
        </w:rPr>
        <w:t>）技术文件；</w:t>
      </w:r>
    </w:p>
    <w:p>
      <w:pPr>
        <w:spacing w:line="360" w:lineRule="auto"/>
        <w:ind w:firstLine="480" w:firstLineChars="200"/>
        <w:jc w:val="left"/>
        <w:rPr>
          <w:rFonts w:ascii="宋体" w:hAnsi="宋体"/>
          <w:sz w:val="24"/>
        </w:rPr>
      </w:pPr>
      <w:r>
        <w:rPr>
          <w:rFonts w:ascii="宋体" w:hAnsi="宋体"/>
          <w:sz w:val="24"/>
        </w:rPr>
        <w:t>（</w:t>
      </w:r>
      <w:r>
        <w:rPr>
          <w:rFonts w:hint="eastAsia" w:ascii="宋体" w:hAnsi="宋体"/>
          <w:sz w:val="24"/>
        </w:rPr>
        <w:t>6</w:t>
      </w:r>
      <w:r>
        <w:rPr>
          <w:rFonts w:ascii="宋体" w:hAnsi="宋体"/>
          <w:sz w:val="24"/>
        </w:rPr>
        <w:t>）</w:t>
      </w:r>
      <w:r>
        <w:rPr>
          <w:rFonts w:hint="eastAsia" w:ascii="宋体" w:hAnsi="宋体"/>
          <w:sz w:val="24"/>
        </w:rPr>
        <w:t>商务文件</w:t>
      </w:r>
      <w:r>
        <w:rPr>
          <w:rFonts w:ascii="宋体" w:hAnsi="宋体"/>
          <w:sz w:val="24"/>
        </w:rPr>
        <w:t>；</w:t>
      </w:r>
    </w:p>
    <w:p>
      <w:pPr>
        <w:spacing w:line="360" w:lineRule="auto"/>
        <w:ind w:firstLine="480" w:firstLineChars="200"/>
        <w:jc w:val="left"/>
        <w:rPr>
          <w:rFonts w:asciiTheme="minorEastAsia" w:hAnsiTheme="minorEastAsia" w:eastAsiaTheme="minorEastAsia"/>
          <w:b/>
          <w:sz w:val="24"/>
        </w:rPr>
      </w:pPr>
      <w:r>
        <w:rPr>
          <w:rFonts w:hint="eastAsia" w:ascii="宋体"/>
          <w:b/>
          <w:sz w:val="24"/>
        </w:rPr>
        <w:t>★</w:t>
      </w:r>
      <w:r>
        <w:rPr>
          <w:rFonts w:asciiTheme="minorEastAsia" w:hAnsiTheme="minorEastAsia" w:eastAsiaTheme="minorEastAsia"/>
          <w:b/>
          <w:sz w:val="24"/>
        </w:rPr>
        <w:t>（</w:t>
      </w:r>
      <w:r>
        <w:rPr>
          <w:rFonts w:hint="eastAsia" w:asciiTheme="minorEastAsia" w:hAnsiTheme="minorEastAsia" w:eastAsiaTheme="minorEastAsia"/>
          <w:b/>
          <w:sz w:val="24"/>
        </w:rPr>
        <w:t>7</w:t>
      </w:r>
      <w:r>
        <w:rPr>
          <w:rFonts w:asciiTheme="minorEastAsia" w:hAnsiTheme="minorEastAsia" w:eastAsiaTheme="minorEastAsia"/>
          <w:b/>
          <w:sz w:val="24"/>
        </w:rPr>
        <w:t>）资格证明文件；</w:t>
      </w:r>
    </w:p>
    <w:p>
      <w:pPr>
        <w:spacing w:line="360" w:lineRule="auto"/>
        <w:ind w:firstLine="480" w:firstLineChars="200"/>
        <w:jc w:val="left"/>
        <w:rPr>
          <w:rFonts w:ascii="宋体"/>
          <w:b/>
          <w:sz w:val="24"/>
        </w:rPr>
      </w:pPr>
      <w:r>
        <w:rPr>
          <w:rFonts w:hint="eastAsia" w:ascii="宋体"/>
          <w:b/>
          <w:sz w:val="24"/>
        </w:rPr>
        <w:t>a.供应商提供近期（具体月份详见“</w:t>
      </w:r>
      <w:r>
        <w:rPr>
          <w:rFonts w:hint="eastAsia" w:ascii="宋体"/>
          <w:b/>
          <w:bCs/>
          <w:sz w:val="24"/>
        </w:rPr>
        <w:t>供应商须知前附表</w:t>
      </w:r>
      <w:r>
        <w:rPr>
          <w:rFonts w:hint="eastAsia" w:ascii="宋体"/>
          <w:b/>
          <w:sz w:val="24"/>
        </w:rPr>
        <w:t>”）任意连续2个月的税务局税收通用缴款书复印件或银行电子缴税（费）凭证复印件或税务局出具纳税情况的相关证明复印件。</w:t>
      </w:r>
    </w:p>
    <w:p>
      <w:pPr>
        <w:spacing w:line="360" w:lineRule="auto"/>
        <w:ind w:firstLine="480" w:firstLineChars="200"/>
        <w:jc w:val="left"/>
        <w:rPr>
          <w:rFonts w:ascii="宋体"/>
          <w:b/>
          <w:sz w:val="24"/>
        </w:rPr>
      </w:pPr>
      <w:r>
        <w:rPr>
          <w:rFonts w:hint="eastAsia" w:ascii="宋体"/>
          <w:b/>
          <w:sz w:val="24"/>
        </w:rPr>
        <w:t>b.供应商提供近期（具体月份详见“</w:t>
      </w:r>
      <w:r>
        <w:rPr>
          <w:rFonts w:hint="eastAsia" w:ascii="宋体"/>
          <w:b/>
          <w:bCs/>
          <w:sz w:val="24"/>
        </w:rPr>
        <w:t>供应商须知前附表</w:t>
      </w:r>
      <w:r>
        <w:rPr>
          <w:rFonts w:hint="eastAsia" w:ascii="宋体"/>
          <w:b/>
          <w:sz w:val="24"/>
        </w:rPr>
        <w:t>”）任意连续2个月的社会保险费缴款书复印件或银行电子缴税（费）凭证复印件或社保管理部门出具的有效的缴款证明复印件。</w:t>
      </w:r>
    </w:p>
    <w:p>
      <w:pPr>
        <w:spacing w:line="360" w:lineRule="auto"/>
        <w:ind w:firstLine="480" w:firstLineChars="200"/>
        <w:jc w:val="left"/>
        <w:rPr>
          <w:rFonts w:ascii="宋体"/>
          <w:b/>
          <w:sz w:val="24"/>
        </w:rPr>
      </w:pPr>
      <w:r>
        <w:rPr>
          <w:rFonts w:hint="eastAsia" w:ascii="宋体"/>
          <w:b/>
          <w:sz w:val="24"/>
        </w:rPr>
        <w:t>c.供应商提供近期的财务状况报告复印件（具体要求详见“</w:t>
      </w:r>
      <w:r>
        <w:rPr>
          <w:rFonts w:hint="eastAsia" w:ascii="宋体"/>
          <w:b/>
          <w:bCs/>
          <w:sz w:val="24"/>
        </w:rPr>
        <w:t>供应商须知前附表</w:t>
      </w:r>
      <w:r>
        <w:rPr>
          <w:rFonts w:hint="eastAsia" w:ascii="宋体"/>
          <w:b/>
          <w:sz w:val="24"/>
        </w:rPr>
        <w:t>”）。</w:t>
      </w:r>
    </w:p>
    <w:p>
      <w:pPr>
        <w:spacing w:line="360" w:lineRule="auto"/>
        <w:ind w:firstLine="480" w:firstLineChars="200"/>
        <w:jc w:val="left"/>
        <w:rPr>
          <w:rFonts w:asciiTheme="minorEastAsia" w:hAnsiTheme="minorEastAsia" w:eastAsiaTheme="minorEastAsia"/>
          <w:b/>
          <w:sz w:val="24"/>
        </w:rPr>
      </w:pPr>
      <w:r>
        <w:rPr>
          <w:rFonts w:hint="eastAsia" w:ascii="宋体"/>
          <w:b/>
          <w:sz w:val="24"/>
        </w:rPr>
        <w:t>d.供应商参加政府采购活动前3年内在经营活动中没有重大违法记录的书面声明原件。</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8</w:t>
      </w:r>
      <w:r>
        <w:rPr>
          <w:rFonts w:asciiTheme="minorEastAsia" w:hAnsiTheme="minorEastAsia" w:eastAsiaTheme="minorEastAsia"/>
          <w:sz w:val="24"/>
        </w:rPr>
        <w:t>）构成响应文件的其他资料：详见“供应商须知前附表”要求。</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p>
    <w:p>
      <w:pPr>
        <w:pStyle w:val="5"/>
        <w:numPr>
          <w:ilvl w:val="2"/>
          <w:numId w:val="0"/>
        </w:numPr>
        <w:spacing w:before="0" w:after="0"/>
        <w:ind w:left="210"/>
        <w:jc w:val="both"/>
        <w:rPr>
          <w:rFonts w:hAnsi="宋体"/>
          <w:szCs w:val="24"/>
        </w:rPr>
      </w:pPr>
      <w:bookmarkStart w:id="132" w:name="_Toc18757"/>
      <w:r>
        <w:rPr>
          <w:rFonts w:hint="eastAsia" w:hAnsi="宋体"/>
          <w:szCs w:val="24"/>
        </w:rPr>
        <w:t>10.</w:t>
      </w:r>
      <w:r>
        <w:rPr>
          <w:rFonts w:hAnsi="宋体"/>
          <w:szCs w:val="24"/>
        </w:rPr>
        <w:t>报价</w:t>
      </w:r>
      <w:bookmarkEnd w:id="128"/>
      <w:r>
        <w:rPr>
          <w:rFonts w:hAnsi="宋体"/>
          <w:szCs w:val="24"/>
        </w:rPr>
        <w:t>和报价货币</w:t>
      </w:r>
      <w:bookmarkEnd w:id="129"/>
      <w:bookmarkEnd w:id="130"/>
      <w:bookmarkEnd w:id="131"/>
      <w:bookmarkEnd w:id="132"/>
    </w:p>
    <w:p>
      <w:pPr>
        <w:spacing w:line="360" w:lineRule="auto"/>
        <w:ind w:firstLine="480" w:firstLineChars="200"/>
        <w:jc w:val="left"/>
        <w:rPr>
          <w:rFonts w:ascii="宋体" w:hAnsi="宋体"/>
          <w:sz w:val="24"/>
        </w:rPr>
      </w:pPr>
      <w:r>
        <w:rPr>
          <w:rFonts w:ascii="宋体" w:hAnsi="宋体"/>
          <w:sz w:val="24"/>
        </w:rPr>
        <w:t>10.1 报价指</w:t>
      </w:r>
      <w:r>
        <w:rPr>
          <w:rFonts w:hint="eastAsia" w:ascii="宋体" w:hAnsi="宋体"/>
          <w:sz w:val="24"/>
        </w:rPr>
        <w:t>完成第五章“服务要求”中的服务、验收合格所需的各种费用及必要的保险费用和各项税金等所有费用的总和。包括但不限于：人员的工资、培训学习、个人保险、生活补贴、劳保用品费用、着装等相关费用。</w:t>
      </w:r>
    </w:p>
    <w:p>
      <w:pPr>
        <w:spacing w:line="360" w:lineRule="auto"/>
        <w:ind w:firstLine="480" w:firstLineChars="200"/>
        <w:jc w:val="left"/>
        <w:rPr>
          <w:rFonts w:ascii="宋体" w:hAnsi="宋体"/>
          <w:sz w:val="24"/>
        </w:rPr>
      </w:pPr>
      <w:r>
        <w:rPr>
          <w:rFonts w:ascii="宋体" w:hAnsi="宋体"/>
          <w:sz w:val="24"/>
        </w:rPr>
        <w:t>10.2</w:t>
      </w:r>
      <w:r>
        <w:rPr>
          <w:rFonts w:ascii="宋体" w:hAnsi="宋体"/>
          <w:b/>
          <w:sz w:val="24"/>
        </w:rPr>
        <w:t>供应商</w:t>
      </w:r>
      <w:r>
        <w:rPr>
          <w:rFonts w:hint="eastAsia" w:ascii="宋体" w:hAnsi="宋体"/>
          <w:b/>
          <w:sz w:val="24"/>
        </w:rPr>
        <w:t>须</w:t>
      </w:r>
      <w:r>
        <w:rPr>
          <w:rFonts w:ascii="宋体" w:hAnsi="宋体"/>
          <w:b/>
          <w:sz w:val="24"/>
        </w:rPr>
        <w:t>就</w:t>
      </w:r>
      <w:r>
        <w:rPr>
          <w:rFonts w:hint="eastAsia" w:ascii="宋体" w:hAnsi="宋体"/>
          <w:b/>
          <w:sz w:val="24"/>
        </w:rPr>
        <w:t>第五章“服务要求”中的内容作完整唯一报价</w:t>
      </w:r>
      <w:r>
        <w:rPr>
          <w:rFonts w:ascii="宋体" w:hAnsi="宋体"/>
          <w:b/>
          <w:sz w:val="24"/>
        </w:rPr>
        <w:t>。</w:t>
      </w:r>
    </w:p>
    <w:p>
      <w:pPr>
        <w:spacing w:line="360" w:lineRule="auto"/>
        <w:ind w:firstLine="480" w:firstLineChars="200"/>
        <w:jc w:val="left"/>
        <w:rPr>
          <w:rFonts w:ascii="宋体" w:hAnsi="宋体"/>
          <w:sz w:val="24"/>
        </w:rPr>
      </w:pPr>
      <w:r>
        <w:rPr>
          <w:rFonts w:ascii="宋体" w:hAnsi="宋体"/>
          <w:sz w:val="24"/>
        </w:rPr>
        <w:t xml:space="preserve">10.3 </w:t>
      </w:r>
      <w:r>
        <w:rPr>
          <w:rFonts w:hint="eastAsia" w:ascii="宋体" w:hAnsi="宋体"/>
          <w:sz w:val="24"/>
        </w:rPr>
        <w:t>供应商的报价应依据竞争性磋商文件的要求及有关资料，执行国家规定的现行技术、经济标准、定额及规范，由供应商自行测算出现行市场的设备、材料及各类价格。报价包括但不仅限于完成服务、利润及税金等费用，该报价应符合国内行情并能保证供应商完成履行合同所需的一切工作。合同一旦签订，此合同价格在合同实施期间将不因工作量及市场设备材料价格的变化而调整。</w:t>
      </w:r>
    </w:p>
    <w:p>
      <w:pPr>
        <w:spacing w:line="360" w:lineRule="auto"/>
        <w:ind w:firstLine="480" w:firstLineChars="200"/>
        <w:jc w:val="left"/>
        <w:rPr>
          <w:rFonts w:ascii="宋体" w:hAnsi="宋体"/>
          <w:b/>
          <w:sz w:val="24"/>
        </w:rPr>
      </w:pPr>
      <w:r>
        <w:rPr>
          <w:rFonts w:ascii="宋体" w:hAnsi="宋体"/>
          <w:sz w:val="24"/>
        </w:rPr>
        <w:t>10.4</w:t>
      </w:r>
      <w:r>
        <w:rPr>
          <w:rFonts w:hint="eastAsia" w:ascii="宋体" w:hAnsi="宋体"/>
          <w:b/>
          <w:sz w:val="24"/>
        </w:rPr>
        <w:t>通过资格性审查和符合性审查的供应商将进行第二轮报价，第二轮报价为最后报价，最后报价是供应商响应文件的有效组成部分。</w:t>
      </w:r>
    </w:p>
    <w:p>
      <w:pPr>
        <w:adjustRightInd w:val="0"/>
        <w:spacing w:line="360" w:lineRule="auto"/>
        <w:ind w:firstLine="480" w:firstLineChars="200"/>
        <w:rPr>
          <w:rFonts w:ascii="宋体" w:hAnsi="宋体"/>
          <w:sz w:val="24"/>
        </w:rPr>
      </w:pPr>
      <w:r>
        <w:rPr>
          <w:rFonts w:ascii="宋体" w:hAnsi="宋体"/>
          <w:sz w:val="24"/>
        </w:rPr>
        <w:t>10.5 供应商不得哄抬报价，也不应低于成本价(或进价) 报价。磋商小组认为供应商的最低报价或者某些分项报价明显不合理或者低于成本，有可能影响商品质量和不能诚信履约的，将要求其在规定的期限内提供书面文件予以解释说明，并提交相关证明材料。否则，磋商小组可以取消该供应商的成交候选资格。</w:t>
      </w:r>
    </w:p>
    <w:p>
      <w:pPr>
        <w:adjustRightInd w:val="0"/>
        <w:spacing w:line="360" w:lineRule="auto"/>
        <w:ind w:firstLine="480" w:firstLineChars="200"/>
        <w:rPr>
          <w:rFonts w:ascii="宋体" w:hAnsi="宋体"/>
          <w:sz w:val="24"/>
        </w:rPr>
      </w:pPr>
      <w:r>
        <w:rPr>
          <w:rFonts w:ascii="宋体" w:hAnsi="宋体"/>
          <w:sz w:val="24"/>
        </w:rPr>
        <w:t>10.6 报价货币为人民币。</w:t>
      </w:r>
    </w:p>
    <w:p>
      <w:pPr>
        <w:pStyle w:val="5"/>
        <w:numPr>
          <w:ilvl w:val="2"/>
          <w:numId w:val="0"/>
        </w:numPr>
        <w:tabs>
          <w:tab w:val="left" w:pos="900"/>
        </w:tabs>
        <w:spacing w:before="0" w:after="0"/>
        <w:jc w:val="left"/>
        <w:rPr>
          <w:rFonts w:hAnsi="宋体"/>
          <w:szCs w:val="24"/>
        </w:rPr>
      </w:pPr>
      <w:bookmarkStart w:id="133" w:name="_Toc27735"/>
      <w:bookmarkStart w:id="134" w:name="_Toc14326"/>
      <w:bookmarkStart w:id="135" w:name="_Toc86124058"/>
      <w:bookmarkStart w:id="136" w:name="_Toc337822226"/>
      <w:bookmarkStart w:id="137" w:name="_Toc27165"/>
      <w:r>
        <w:rPr>
          <w:rFonts w:hint="eastAsia" w:hAnsi="宋体"/>
          <w:szCs w:val="24"/>
        </w:rPr>
        <w:t xml:space="preserve">11. </w:t>
      </w:r>
      <w:r>
        <w:rPr>
          <w:rFonts w:hAnsi="宋体"/>
          <w:szCs w:val="24"/>
        </w:rPr>
        <w:t>有效期</w:t>
      </w:r>
      <w:bookmarkEnd w:id="133"/>
      <w:bookmarkEnd w:id="134"/>
      <w:bookmarkEnd w:id="135"/>
      <w:bookmarkEnd w:id="136"/>
      <w:bookmarkEnd w:id="137"/>
    </w:p>
    <w:p>
      <w:pPr>
        <w:spacing w:line="360" w:lineRule="auto"/>
        <w:ind w:firstLine="480" w:firstLineChars="200"/>
        <w:jc w:val="left"/>
        <w:rPr>
          <w:rFonts w:ascii="宋体" w:hAnsi="宋体"/>
          <w:sz w:val="24"/>
        </w:rPr>
      </w:pPr>
      <w:r>
        <w:rPr>
          <w:rFonts w:ascii="宋体" w:hAnsi="宋体"/>
          <w:sz w:val="24"/>
        </w:rPr>
        <w:t>11.1 在“</w:t>
      </w:r>
      <w:r>
        <w:rPr>
          <w:rFonts w:ascii="宋体" w:hAnsi="宋体"/>
          <w:b/>
          <w:sz w:val="24"/>
        </w:rPr>
        <w:t>供应商须知前附表</w:t>
      </w:r>
      <w:r>
        <w:rPr>
          <w:rFonts w:ascii="宋体" w:hAnsi="宋体"/>
          <w:sz w:val="24"/>
        </w:rPr>
        <w:t>”规定的有效期内，供应商不得要求撤销或修改其响应文件。</w:t>
      </w:r>
    </w:p>
    <w:p>
      <w:pPr>
        <w:spacing w:line="360" w:lineRule="auto"/>
        <w:ind w:firstLine="480" w:firstLineChars="200"/>
        <w:jc w:val="left"/>
        <w:rPr>
          <w:rFonts w:ascii="宋体" w:hAnsi="宋体"/>
          <w:sz w:val="24"/>
        </w:rPr>
      </w:pPr>
      <w:r>
        <w:rPr>
          <w:rFonts w:ascii="宋体" w:hAnsi="宋体"/>
          <w:sz w:val="24"/>
        </w:rPr>
        <w:t>11.2 因特殊情况需要延长有效期的，采购代理机构以书面形式通知所有供应商延长有效期。供应商同意延长的，应相应延长其保证金的有效期，但不得要求或被允许修改或撤销其响应文件；供应商拒绝延长的，其磋商申请失效，但供应商有权收回其保证金。</w:t>
      </w:r>
    </w:p>
    <w:p>
      <w:pPr>
        <w:pStyle w:val="5"/>
        <w:numPr>
          <w:ilvl w:val="2"/>
          <w:numId w:val="0"/>
        </w:numPr>
        <w:tabs>
          <w:tab w:val="left" w:pos="360"/>
        </w:tabs>
        <w:spacing w:before="0" w:after="0"/>
        <w:jc w:val="left"/>
        <w:rPr>
          <w:rFonts w:hAnsi="宋体"/>
          <w:szCs w:val="24"/>
        </w:rPr>
      </w:pPr>
      <w:bookmarkStart w:id="138" w:name="_Toc337822227"/>
      <w:bookmarkStart w:id="139" w:name="_Toc8230"/>
      <w:bookmarkStart w:id="140" w:name="_Toc86124059"/>
      <w:bookmarkStart w:id="141" w:name="_Toc27690"/>
      <w:bookmarkStart w:id="142" w:name="_Toc6678"/>
      <w:r>
        <w:rPr>
          <w:rFonts w:hint="eastAsia" w:hAnsi="宋体"/>
          <w:szCs w:val="24"/>
        </w:rPr>
        <w:t xml:space="preserve">12. </w:t>
      </w:r>
      <w:r>
        <w:rPr>
          <w:rFonts w:hAnsi="宋体"/>
          <w:szCs w:val="24"/>
        </w:rPr>
        <w:t>响应文件的书写要求</w:t>
      </w:r>
      <w:bookmarkEnd w:id="138"/>
      <w:bookmarkEnd w:id="139"/>
      <w:bookmarkEnd w:id="140"/>
      <w:bookmarkEnd w:id="141"/>
      <w:bookmarkEnd w:id="142"/>
    </w:p>
    <w:p>
      <w:pPr>
        <w:widowControl/>
        <w:spacing w:line="360" w:lineRule="auto"/>
        <w:ind w:firstLine="420"/>
        <w:jc w:val="left"/>
        <w:rPr>
          <w:rFonts w:ascii="宋体" w:hAnsi="宋体"/>
          <w:sz w:val="24"/>
        </w:rPr>
      </w:pPr>
      <w:r>
        <w:rPr>
          <w:rFonts w:hint="eastAsia" w:ascii="宋体" w:hAnsi="宋体"/>
          <w:sz w:val="24"/>
        </w:rPr>
        <w:t>12.1 电子响应文件的签章和签名要求：按照响应文件格式，采用单位和个人数字证书电子签章及电子签名：响应文件需要企业、法定代表人电子签章及电子签名。</w:t>
      </w:r>
    </w:p>
    <w:p>
      <w:pPr>
        <w:widowControl/>
        <w:spacing w:line="360" w:lineRule="auto"/>
        <w:ind w:firstLine="360" w:firstLineChars="150"/>
        <w:jc w:val="left"/>
        <w:rPr>
          <w:rFonts w:ascii="宋体" w:hAnsi="宋体"/>
          <w:sz w:val="24"/>
        </w:rPr>
      </w:pPr>
      <w:r>
        <w:rPr>
          <w:rFonts w:hint="eastAsia" w:ascii="宋体" w:hAnsi="宋体"/>
          <w:sz w:val="24"/>
        </w:rPr>
        <w:t>12.2 纸质响应文件须采用电子响应文件直接打印。</w:t>
      </w:r>
    </w:p>
    <w:p>
      <w:pPr>
        <w:spacing w:line="360" w:lineRule="auto"/>
        <w:ind w:firstLine="360" w:firstLineChars="150"/>
        <w:jc w:val="left"/>
        <w:rPr>
          <w:rFonts w:ascii="宋体" w:hAnsi="宋体"/>
          <w:sz w:val="24"/>
        </w:rPr>
      </w:pPr>
      <w:r>
        <w:rPr>
          <w:rFonts w:hint="eastAsia" w:ascii="宋体" w:hAnsi="宋体"/>
          <w:sz w:val="24"/>
        </w:rPr>
        <w:t>12.3因复印、扫描、拍摄模糊，字迹潦草，表达不清，未按要求填写而导致非唯一理解或无法辨认的，造成未实质性响应竞争性磋商文件的响应文件将会被认定为无效的磋商申请。</w:t>
      </w:r>
    </w:p>
    <w:p>
      <w:pPr>
        <w:pStyle w:val="5"/>
        <w:numPr>
          <w:ilvl w:val="0"/>
          <w:numId w:val="6"/>
        </w:numPr>
        <w:spacing w:before="0" w:after="0"/>
        <w:jc w:val="left"/>
        <w:rPr>
          <w:rFonts w:hAnsi="宋体"/>
          <w:szCs w:val="24"/>
        </w:rPr>
      </w:pPr>
      <w:bookmarkStart w:id="143" w:name="_Toc14352"/>
      <w:bookmarkStart w:id="144" w:name="_Toc10267"/>
      <w:bookmarkStart w:id="145" w:name="_Toc337822228"/>
      <w:bookmarkStart w:id="146" w:name="_Toc20507"/>
      <w:r>
        <w:rPr>
          <w:rFonts w:hAnsi="宋体"/>
          <w:szCs w:val="24"/>
        </w:rPr>
        <w:t>保证金</w:t>
      </w:r>
      <w:bookmarkEnd w:id="143"/>
      <w:bookmarkEnd w:id="144"/>
      <w:bookmarkEnd w:id="145"/>
      <w:r>
        <w:rPr>
          <w:rFonts w:hint="eastAsia" w:hAnsi="宋体"/>
          <w:szCs w:val="24"/>
        </w:rPr>
        <w:t>：无</w:t>
      </w:r>
      <w:bookmarkEnd w:id="146"/>
    </w:p>
    <w:p>
      <w:pPr>
        <w:pStyle w:val="4"/>
        <w:numPr>
          <w:ilvl w:val="0"/>
          <w:numId w:val="0"/>
        </w:numPr>
        <w:spacing w:before="0" w:after="0"/>
        <w:ind w:left="425"/>
        <w:rPr>
          <w:rFonts w:ascii="宋体" w:hAnsi="宋体"/>
          <w:sz w:val="24"/>
          <w:szCs w:val="24"/>
        </w:rPr>
      </w:pPr>
      <w:bookmarkStart w:id="147" w:name="_Toc22572"/>
      <w:bookmarkStart w:id="148" w:name="_Toc337822229"/>
      <w:bookmarkStart w:id="149" w:name="_Toc12893"/>
      <w:bookmarkStart w:id="150" w:name="_Toc86124061"/>
      <w:bookmarkStart w:id="151" w:name="_Toc9202"/>
      <w:r>
        <w:rPr>
          <w:rFonts w:ascii="宋体" w:hAnsi="宋体"/>
          <w:sz w:val="24"/>
          <w:szCs w:val="24"/>
        </w:rPr>
        <w:t>四、响应文件的提交</w:t>
      </w:r>
      <w:bookmarkEnd w:id="147"/>
      <w:bookmarkEnd w:id="148"/>
      <w:bookmarkEnd w:id="149"/>
      <w:bookmarkEnd w:id="150"/>
      <w:bookmarkEnd w:id="151"/>
    </w:p>
    <w:p>
      <w:pPr>
        <w:pStyle w:val="5"/>
        <w:numPr>
          <w:ilvl w:val="2"/>
          <w:numId w:val="0"/>
        </w:numPr>
        <w:tabs>
          <w:tab w:val="left" w:pos="360"/>
        </w:tabs>
        <w:spacing w:before="0" w:after="0"/>
        <w:jc w:val="left"/>
        <w:rPr>
          <w:rFonts w:hAnsi="宋体"/>
          <w:szCs w:val="24"/>
        </w:rPr>
      </w:pPr>
      <w:bookmarkStart w:id="152" w:name="_Toc16933"/>
      <w:bookmarkStart w:id="153" w:name="_Toc86124062"/>
      <w:bookmarkStart w:id="154" w:name="_Toc337822230"/>
      <w:bookmarkStart w:id="155" w:name="_Toc31392"/>
      <w:bookmarkStart w:id="156" w:name="_Toc12205"/>
      <w:r>
        <w:rPr>
          <w:rFonts w:hint="eastAsia" w:hAnsi="宋体"/>
          <w:szCs w:val="24"/>
        </w:rPr>
        <w:t xml:space="preserve">14. </w:t>
      </w:r>
      <w:r>
        <w:rPr>
          <w:rFonts w:hAnsi="宋体"/>
          <w:szCs w:val="24"/>
        </w:rPr>
        <w:t>响应文件的密封与标记</w:t>
      </w:r>
      <w:bookmarkEnd w:id="152"/>
      <w:bookmarkEnd w:id="153"/>
      <w:bookmarkEnd w:id="154"/>
      <w:bookmarkEnd w:id="155"/>
      <w:bookmarkEnd w:id="156"/>
    </w:p>
    <w:p>
      <w:pPr>
        <w:spacing w:line="360" w:lineRule="auto"/>
        <w:ind w:firstLine="480" w:firstLineChars="200"/>
        <w:rPr>
          <w:b/>
          <w:sz w:val="24"/>
        </w:rPr>
      </w:pPr>
      <w:r>
        <w:rPr>
          <w:rFonts w:hint="eastAsia" w:ascii="宋体" w:hAnsi="宋体" w:cs="宋体"/>
          <w:b/>
          <w:bCs/>
          <w:kern w:val="0"/>
          <w:sz w:val="24"/>
        </w:rPr>
        <w:t>14.1</w:t>
      </w:r>
      <w:r>
        <w:rPr>
          <w:rFonts w:hint="eastAsia"/>
          <w:b/>
          <w:sz w:val="24"/>
        </w:rPr>
        <w:t>电子响应文件的密封、标记与提交</w:t>
      </w:r>
    </w:p>
    <w:p>
      <w:pPr>
        <w:spacing w:line="360" w:lineRule="auto"/>
        <w:ind w:firstLine="480" w:firstLineChars="200"/>
        <w:rPr>
          <w:rFonts w:ascii="宋体" w:hAnsi="宋体"/>
          <w:sz w:val="24"/>
        </w:rPr>
      </w:pPr>
      <w:r>
        <w:rPr>
          <w:rFonts w:ascii="宋体" w:hAnsi="宋体" w:cs="宋体"/>
          <w:bCs/>
          <w:kern w:val="0"/>
          <w:sz w:val="24"/>
        </w:rPr>
        <w:t>（</w:t>
      </w:r>
      <w:r>
        <w:rPr>
          <w:rFonts w:hint="eastAsia" w:ascii="宋体" w:hAnsi="宋体" w:cs="宋体"/>
          <w:bCs/>
          <w:kern w:val="0"/>
          <w:sz w:val="24"/>
        </w:rPr>
        <w:t>1</w:t>
      </w:r>
      <w:r>
        <w:rPr>
          <w:rFonts w:ascii="宋体" w:hAnsi="宋体" w:cs="宋体"/>
          <w:bCs/>
          <w:kern w:val="0"/>
          <w:sz w:val="24"/>
        </w:rPr>
        <w:t>）</w:t>
      </w:r>
      <w:r>
        <w:rPr>
          <w:rFonts w:hint="eastAsia" w:ascii="宋体" w:hAnsi="宋体"/>
          <w:sz w:val="24"/>
        </w:rPr>
        <w:t>网上递交的电子响应文件须对文件进行加密。现场递交的电子光盘，须将刻录好的电子响应文件光盘密封在密封袋中，在封口处加盖供应商单位鲜章。光盘盘面禁止粘贴标签，应使用记号笔在盘面上标注单位名称。</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（2）网上递交电子响应文件网址为</w:t>
      </w:r>
      <w:r>
        <w:rPr>
          <w:rFonts w:ascii="宋体" w:hAnsi="宋体"/>
          <w:sz w:val="24"/>
          <w:u w:val="single"/>
        </w:rPr>
        <w:t>https://www.ynggzy.com/zfcg-tb</w:t>
      </w:r>
      <w:r>
        <w:rPr>
          <w:rFonts w:hint="eastAsia" w:ascii="宋体" w:hAnsi="宋体"/>
          <w:sz w:val="24"/>
        </w:rPr>
        <w:t>，供应商须在响应文件递交截止时间前完成所有响应文件的上传，网上确认电子签名。</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注：建议供应商上传完成后，将已上传的电子响应文件重新下载下来，用对应类型的编制工具或标书查看工具进行解密查看，确保上传的文件可以正常解密打开。</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（3）现场递交光盘：1份，光盘内附电子响应文件（格式为：*.ZCTBJ）。供应商应确保电子响应文件（光盘）与网上上传的电子响应文件一致，若出现不一致，以网上上传的电子响应文件为准。</w:t>
      </w:r>
    </w:p>
    <w:p>
      <w:pPr>
        <w:widowControl/>
        <w:spacing w:line="360" w:lineRule="auto"/>
        <w:ind w:firstLine="480" w:firstLineChars="200"/>
        <w:jc w:val="left"/>
        <w:rPr>
          <w:rFonts w:ascii="宋体" w:hAnsi="宋体"/>
          <w:sz w:val="24"/>
        </w:rPr>
      </w:pPr>
      <w:r>
        <w:rPr>
          <w:rFonts w:hint="eastAsia" w:ascii="宋体" w:hAnsi="宋体"/>
          <w:sz w:val="24"/>
        </w:rPr>
        <w:t>注：</w:t>
      </w:r>
      <w:r>
        <w:rPr>
          <w:rFonts w:hint="eastAsia"/>
          <w:sz w:val="24"/>
        </w:rPr>
        <w:t>光盘刻录时，请使用正规刻录软件进行刻录CD或DVD光盘，不要对电子响应文件进行压缩，光盘刻录完成后，应检验光盘刻录的质量，检验光盘时不要在本机的刻录光驱上进行，将刻录好的光盘用另外一台电脑的“只读光驱”进行读取测试。测试的方法：将刻录光盘上的响应文件数据拷贝到电脑硬盘上，检查拷贝是否成功，同时使用《云南省政府采购响应文件编制系统》或查看工具中的【查看标书】功能对刻录后光盘中的电子响应文件进行查看。</w:t>
      </w:r>
    </w:p>
    <w:p>
      <w:pPr>
        <w:spacing w:line="360" w:lineRule="auto"/>
        <w:ind w:firstLine="480" w:firstLineChars="200"/>
        <w:rPr>
          <w:b/>
          <w:sz w:val="24"/>
        </w:rPr>
      </w:pPr>
      <w:r>
        <w:rPr>
          <w:rFonts w:hint="eastAsia" w:ascii="宋体" w:hAnsi="宋体"/>
          <w:sz w:val="24"/>
        </w:rPr>
        <w:t>（4）在规定响应文件递交截止时间前，供应商可以修改或撤回已在网上递交的电子响应文件，无须书面形式通知采购人。修改的电子响应文件应按照有关电子响应文件规定进行编制、密封、标记和递交。</w:t>
      </w:r>
    </w:p>
    <w:p>
      <w:pPr>
        <w:spacing w:line="360" w:lineRule="auto"/>
        <w:ind w:firstLine="480" w:firstLineChars="200"/>
        <w:jc w:val="left"/>
        <w:rPr>
          <w:rFonts w:ascii="宋体" w:hAnsi="宋体"/>
          <w:sz w:val="24"/>
        </w:rPr>
      </w:pPr>
      <w:r>
        <w:rPr>
          <w:rFonts w:hint="eastAsia" w:ascii="宋体" w:hAnsi="宋体"/>
          <w:sz w:val="24"/>
        </w:rPr>
        <w:t>14.2纸质响应文件的密封、标记与提交</w:t>
      </w:r>
    </w:p>
    <w:p>
      <w:pPr>
        <w:spacing w:line="360" w:lineRule="auto"/>
        <w:ind w:firstLine="480" w:firstLineChars="200"/>
        <w:jc w:val="left"/>
        <w:rPr>
          <w:rFonts w:ascii="宋体" w:hAnsi="宋体"/>
          <w:sz w:val="24"/>
        </w:rPr>
      </w:pPr>
      <w:r>
        <w:rPr>
          <w:rFonts w:hint="eastAsia" w:ascii="宋体" w:hAnsi="宋体"/>
          <w:sz w:val="24"/>
        </w:rPr>
        <w:t>（1）供应商应按“供应商须知前附表”中规定的数量提交纸质响应文件。</w:t>
      </w:r>
    </w:p>
    <w:p>
      <w:pPr>
        <w:spacing w:line="360" w:lineRule="auto"/>
        <w:ind w:firstLine="480" w:firstLineChars="200"/>
        <w:jc w:val="left"/>
        <w:rPr>
          <w:rFonts w:ascii="宋体" w:hAnsi="宋体"/>
          <w:sz w:val="24"/>
        </w:rPr>
      </w:pPr>
      <w:r>
        <w:rPr>
          <w:rFonts w:hint="eastAsia" w:ascii="宋体" w:hAnsi="宋体"/>
          <w:sz w:val="24"/>
        </w:rPr>
        <w:t>（2）纸质响应文件应装订成册，装订应牢固，不得采用活页夹。否则，采购人或采购代理机构对由于文件装订松散而造成的丢失或其他后果不承担任何责任。</w:t>
      </w:r>
    </w:p>
    <w:p>
      <w:pPr>
        <w:spacing w:line="360" w:lineRule="auto"/>
        <w:ind w:firstLine="480" w:firstLineChars="200"/>
        <w:jc w:val="left"/>
        <w:rPr>
          <w:rFonts w:ascii="宋体" w:hAnsi="宋体"/>
          <w:sz w:val="24"/>
        </w:rPr>
      </w:pPr>
      <w:r>
        <w:rPr>
          <w:rFonts w:hint="eastAsia" w:ascii="宋体" w:hAnsi="宋体"/>
          <w:sz w:val="24"/>
        </w:rPr>
        <w:t>（3）供应商应将纸质响应文件装入文件袋中加以密封，在封口处加盖供应商单位鲜章。</w:t>
      </w:r>
    </w:p>
    <w:p>
      <w:pPr>
        <w:spacing w:line="360" w:lineRule="auto"/>
        <w:ind w:firstLine="480" w:firstLineChars="200"/>
        <w:jc w:val="left"/>
        <w:rPr>
          <w:rFonts w:ascii="宋体" w:hAnsi="宋体"/>
          <w:sz w:val="24"/>
        </w:rPr>
      </w:pPr>
      <w:r>
        <w:rPr>
          <w:rFonts w:hint="eastAsia" w:ascii="宋体" w:hAnsi="宋体"/>
          <w:sz w:val="24"/>
        </w:rPr>
        <w:t>（4）文件袋的封面应注明项目名称、项目编号、供应商名称。</w:t>
      </w:r>
    </w:p>
    <w:p>
      <w:pPr>
        <w:spacing w:line="360" w:lineRule="auto"/>
        <w:ind w:firstLine="480" w:firstLineChars="200"/>
        <w:jc w:val="left"/>
        <w:rPr>
          <w:rFonts w:ascii="宋体" w:hAnsi="宋体"/>
          <w:b/>
          <w:sz w:val="24"/>
        </w:rPr>
      </w:pPr>
      <w:r>
        <w:rPr>
          <w:rFonts w:hint="eastAsia" w:ascii="宋体" w:hAnsi="宋体"/>
          <w:b/>
          <w:sz w:val="24"/>
        </w:rPr>
        <w:t>14.3供应商在提交响应文件时，未按上述要求密封、标记的，采购代理机构不予接收。</w:t>
      </w:r>
    </w:p>
    <w:p>
      <w:pPr>
        <w:pStyle w:val="5"/>
        <w:numPr>
          <w:ilvl w:val="2"/>
          <w:numId w:val="0"/>
        </w:numPr>
        <w:tabs>
          <w:tab w:val="left" w:pos="360"/>
        </w:tabs>
        <w:spacing w:before="0" w:after="0"/>
        <w:jc w:val="left"/>
        <w:rPr>
          <w:rFonts w:hAnsi="宋体"/>
          <w:szCs w:val="24"/>
        </w:rPr>
      </w:pPr>
      <w:bookmarkStart w:id="157" w:name="_Toc8287"/>
      <w:bookmarkStart w:id="158" w:name="_Toc485043803"/>
      <w:bookmarkStart w:id="159" w:name="_Toc2131"/>
      <w:bookmarkStart w:id="160" w:name="_Toc31725"/>
      <w:bookmarkStart w:id="161" w:name="_Toc86124064"/>
      <w:bookmarkStart w:id="162" w:name="_Toc337822232"/>
      <w:r>
        <w:rPr>
          <w:rFonts w:hint="eastAsia" w:hAnsi="宋体"/>
          <w:szCs w:val="24"/>
        </w:rPr>
        <w:t>15.提交电子响应文件（光盘）和纸质响应文件的截止时间和地点</w:t>
      </w:r>
      <w:bookmarkEnd w:id="157"/>
      <w:bookmarkEnd w:id="158"/>
      <w:bookmarkEnd w:id="159"/>
      <w:bookmarkEnd w:id="160"/>
    </w:p>
    <w:p>
      <w:pPr>
        <w:spacing w:line="360" w:lineRule="auto"/>
        <w:ind w:firstLine="480" w:firstLineChars="200"/>
        <w:jc w:val="left"/>
        <w:rPr>
          <w:rFonts w:ascii="宋体"/>
          <w:sz w:val="24"/>
        </w:rPr>
      </w:pPr>
      <w:r>
        <w:rPr>
          <w:rFonts w:hint="eastAsia" w:ascii="宋体"/>
          <w:sz w:val="24"/>
        </w:rPr>
        <w:t>15.1 电子响应文件（光盘）和纸质响应文件的提交不得迟于“</w:t>
      </w:r>
      <w:r>
        <w:rPr>
          <w:rFonts w:hint="eastAsia" w:ascii="宋体"/>
          <w:b/>
          <w:bCs/>
          <w:sz w:val="24"/>
        </w:rPr>
        <w:t>供应商须知前附表</w:t>
      </w:r>
      <w:r>
        <w:rPr>
          <w:rFonts w:hint="eastAsia" w:ascii="宋体"/>
          <w:sz w:val="24"/>
        </w:rPr>
        <w:t>”规定的提交截止时间。</w:t>
      </w:r>
    </w:p>
    <w:p>
      <w:pPr>
        <w:spacing w:line="360" w:lineRule="auto"/>
        <w:ind w:firstLine="480" w:firstLineChars="200"/>
        <w:jc w:val="left"/>
        <w:rPr>
          <w:rFonts w:ascii="宋体"/>
          <w:sz w:val="24"/>
        </w:rPr>
      </w:pPr>
      <w:r>
        <w:rPr>
          <w:rFonts w:hint="eastAsia" w:ascii="宋体"/>
          <w:sz w:val="24"/>
        </w:rPr>
        <w:t>15.2 供应商必须在规定时间内将电子响应文件（光盘）和纸质响应文件提交到“</w:t>
      </w:r>
      <w:r>
        <w:rPr>
          <w:rFonts w:hint="eastAsia" w:ascii="宋体"/>
          <w:b/>
          <w:bCs/>
          <w:sz w:val="24"/>
        </w:rPr>
        <w:t>供应商须知前附表</w:t>
      </w:r>
      <w:r>
        <w:rPr>
          <w:rFonts w:hint="eastAsia" w:ascii="宋体"/>
          <w:sz w:val="24"/>
        </w:rPr>
        <w:t>”规定的地点。</w:t>
      </w:r>
    </w:p>
    <w:p>
      <w:pPr>
        <w:spacing w:line="360" w:lineRule="auto"/>
        <w:ind w:firstLine="480" w:firstLineChars="200"/>
        <w:jc w:val="left"/>
        <w:rPr>
          <w:rFonts w:ascii="宋体"/>
          <w:sz w:val="24"/>
        </w:rPr>
      </w:pPr>
      <w:r>
        <w:rPr>
          <w:rFonts w:hint="eastAsia" w:ascii="宋体"/>
          <w:sz w:val="24"/>
        </w:rPr>
        <w:t>15.3 除“</w:t>
      </w:r>
      <w:r>
        <w:rPr>
          <w:rFonts w:hint="eastAsia" w:ascii="宋体"/>
          <w:b/>
          <w:sz w:val="24"/>
        </w:rPr>
        <w:t>供应商须知前附表</w:t>
      </w:r>
      <w:r>
        <w:rPr>
          <w:rFonts w:hint="eastAsia" w:ascii="宋体"/>
          <w:sz w:val="24"/>
        </w:rPr>
        <w:t>”另有规定外，供应商所递交的电子响应文件（光盘）和纸质响应文件不予退还。</w:t>
      </w:r>
    </w:p>
    <w:p>
      <w:pPr>
        <w:spacing w:line="360" w:lineRule="auto"/>
        <w:ind w:firstLine="480" w:firstLineChars="200"/>
        <w:jc w:val="left"/>
        <w:rPr>
          <w:rFonts w:ascii="宋体"/>
          <w:sz w:val="24"/>
        </w:rPr>
      </w:pPr>
      <w:r>
        <w:rPr>
          <w:rFonts w:hint="eastAsia" w:ascii="宋体"/>
          <w:sz w:val="24"/>
        </w:rPr>
        <w:t>15.4 逾期送达的或者未送达指定地点的电子响应文件（光盘）和纸质响应文件，采购代理机构不予受理。</w:t>
      </w:r>
    </w:p>
    <w:p>
      <w:pPr>
        <w:widowControl/>
        <w:spacing w:line="360" w:lineRule="auto"/>
        <w:ind w:firstLine="480" w:firstLineChars="200"/>
        <w:jc w:val="left"/>
        <w:rPr>
          <w:rFonts w:ascii="宋体" w:hAnsi="宋体"/>
          <w:b/>
          <w:sz w:val="24"/>
        </w:rPr>
      </w:pPr>
      <w:r>
        <w:rPr>
          <w:rFonts w:ascii="宋体" w:hAnsi="宋体"/>
          <w:b/>
          <w:sz w:val="24"/>
        </w:rPr>
        <w:t>注</w:t>
      </w:r>
      <w:r>
        <w:rPr>
          <w:rFonts w:hint="eastAsia" w:ascii="宋体" w:hAnsi="宋体"/>
          <w:b/>
          <w:sz w:val="24"/>
        </w:rPr>
        <w:t>：电子响应文件（</w:t>
      </w:r>
      <w:r>
        <w:rPr>
          <w:rFonts w:ascii="宋体" w:hAnsi="宋体"/>
          <w:b/>
          <w:sz w:val="24"/>
        </w:rPr>
        <w:t>光盘</w:t>
      </w:r>
      <w:r>
        <w:rPr>
          <w:rFonts w:hint="eastAsia" w:ascii="宋体" w:hAnsi="宋体"/>
          <w:b/>
          <w:sz w:val="24"/>
        </w:rPr>
        <w:t>）</w:t>
      </w:r>
      <w:r>
        <w:rPr>
          <w:rFonts w:ascii="宋体" w:hAnsi="宋体"/>
          <w:b/>
          <w:sz w:val="24"/>
        </w:rPr>
        <w:t>仅</w:t>
      </w:r>
      <w:r>
        <w:rPr>
          <w:rFonts w:hint="eastAsia" w:ascii="宋体" w:hAnsi="宋体"/>
          <w:b/>
          <w:sz w:val="24"/>
        </w:rPr>
        <w:t>在云南省</w:t>
      </w:r>
      <w:r>
        <w:rPr>
          <w:rFonts w:ascii="宋体" w:hAnsi="宋体"/>
          <w:b/>
          <w:sz w:val="24"/>
        </w:rPr>
        <w:t>网络出现故障时，由监管部门核实同意后</w:t>
      </w:r>
      <w:r>
        <w:rPr>
          <w:rFonts w:hint="eastAsia" w:ascii="宋体" w:hAnsi="宋体"/>
          <w:b/>
          <w:sz w:val="24"/>
        </w:rPr>
        <w:t>，采用光盘现场</w:t>
      </w:r>
      <w:r>
        <w:rPr>
          <w:rFonts w:ascii="宋体" w:hAnsi="宋体"/>
          <w:b/>
          <w:sz w:val="24"/>
        </w:rPr>
        <w:t>导入</w:t>
      </w:r>
      <w:r>
        <w:rPr>
          <w:rFonts w:hint="eastAsia" w:ascii="宋体" w:hAnsi="宋体"/>
          <w:b/>
          <w:sz w:val="24"/>
        </w:rPr>
        <w:t>，其他情况不予启用</w:t>
      </w:r>
      <w:r>
        <w:rPr>
          <w:rFonts w:ascii="宋体" w:hAnsi="宋体" w:cs="宋体"/>
          <w:b/>
          <w:kern w:val="0"/>
          <w:sz w:val="24"/>
        </w:rPr>
        <w:t>。</w:t>
      </w:r>
      <w:r>
        <w:rPr>
          <w:rFonts w:hint="eastAsia" w:ascii="宋体" w:hAnsi="宋体"/>
          <w:b/>
          <w:sz w:val="24"/>
        </w:rPr>
        <w:t>纸质响应文件仅作为纸质存档使用。</w:t>
      </w:r>
    </w:p>
    <w:p>
      <w:pPr>
        <w:pStyle w:val="4"/>
        <w:numPr>
          <w:ilvl w:val="0"/>
          <w:numId w:val="0"/>
        </w:numPr>
        <w:spacing w:before="0" w:after="0"/>
        <w:ind w:left="425"/>
        <w:rPr>
          <w:rFonts w:ascii="宋体" w:hAnsi="宋体"/>
          <w:sz w:val="24"/>
          <w:szCs w:val="24"/>
        </w:rPr>
      </w:pPr>
      <w:bookmarkStart w:id="163" w:name="_Toc1917"/>
      <w:bookmarkStart w:id="164" w:name="_Toc4524"/>
      <w:bookmarkStart w:id="165" w:name="_Toc31048"/>
      <w:r>
        <w:rPr>
          <w:rFonts w:ascii="宋体" w:hAnsi="宋体"/>
          <w:sz w:val="24"/>
          <w:szCs w:val="24"/>
        </w:rPr>
        <w:t>五、磋商与</w:t>
      </w:r>
      <w:bookmarkEnd w:id="161"/>
      <w:r>
        <w:rPr>
          <w:rFonts w:ascii="宋体" w:hAnsi="宋体"/>
          <w:sz w:val="24"/>
          <w:szCs w:val="24"/>
        </w:rPr>
        <w:t>评审</w:t>
      </w:r>
      <w:bookmarkEnd w:id="162"/>
      <w:bookmarkEnd w:id="163"/>
      <w:bookmarkEnd w:id="164"/>
      <w:bookmarkEnd w:id="165"/>
    </w:p>
    <w:p>
      <w:pPr>
        <w:pStyle w:val="5"/>
        <w:numPr>
          <w:ilvl w:val="2"/>
          <w:numId w:val="0"/>
        </w:numPr>
        <w:tabs>
          <w:tab w:val="left" w:pos="360"/>
        </w:tabs>
        <w:spacing w:before="0" w:after="0"/>
        <w:jc w:val="left"/>
        <w:rPr>
          <w:rFonts w:hAnsi="宋体"/>
          <w:szCs w:val="24"/>
        </w:rPr>
      </w:pPr>
      <w:bookmarkStart w:id="166" w:name="_Toc27815"/>
      <w:bookmarkStart w:id="167" w:name="_Toc2560"/>
      <w:bookmarkStart w:id="168" w:name="_Toc2450"/>
      <w:r>
        <w:rPr>
          <w:rFonts w:hint="eastAsia" w:hAnsi="宋体"/>
          <w:szCs w:val="24"/>
        </w:rPr>
        <w:t>16. 响应文件的解密</w:t>
      </w:r>
      <w:bookmarkEnd w:id="166"/>
      <w:bookmarkEnd w:id="167"/>
      <w:bookmarkEnd w:id="168"/>
    </w:p>
    <w:p>
      <w:pPr>
        <w:spacing w:line="360" w:lineRule="auto"/>
        <w:ind w:firstLine="480" w:firstLineChars="200"/>
        <w:rPr>
          <w:rFonts w:ascii="宋体" w:hAnsi="宋体"/>
          <w:sz w:val="24"/>
        </w:rPr>
      </w:pPr>
      <w:r>
        <w:rPr>
          <w:rFonts w:hint="eastAsia" w:ascii="宋体" w:hAnsi="宋体"/>
          <w:sz w:val="24"/>
        </w:rPr>
        <w:t>请供应商务必携带编制响应文件时的加密数字证书到达磋商现场，在磋商之前，须各供应商按系统生成的顺序对电子响应文件进行解密，同时开启纸质响应文件。</w:t>
      </w:r>
    </w:p>
    <w:p>
      <w:pPr>
        <w:pStyle w:val="5"/>
        <w:numPr>
          <w:ilvl w:val="0"/>
          <w:numId w:val="7"/>
        </w:numPr>
        <w:spacing w:before="0" w:after="0"/>
        <w:jc w:val="left"/>
        <w:rPr>
          <w:rFonts w:hAnsi="宋体"/>
          <w:szCs w:val="24"/>
        </w:rPr>
      </w:pPr>
      <w:bookmarkStart w:id="169" w:name="_Toc5775"/>
      <w:bookmarkStart w:id="170" w:name="_Toc22544"/>
      <w:bookmarkStart w:id="171" w:name="_Toc29585"/>
      <w:r>
        <w:rPr>
          <w:rFonts w:hAnsi="宋体"/>
          <w:szCs w:val="24"/>
        </w:rPr>
        <w:t>磋商</w:t>
      </w:r>
      <w:bookmarkEnd w:id="169"/>
      <w:bookmarkEnd w:id="170"/>
      <w:bookmarkEnd w:id="171"/>
    </w:p>
    <w:p>
      <w:pPr>
        <w:spacing w:line="360" w:lineRule="auto"/>
        <w:ind w:firstLine="480" w:firstLineChars="200"/>
        <w:jc w:val="left"/>
        <w:rPr>
          <w:rFonts w:ascii="宋体" w:hAnsi="宋体"/>
          <w:sz w:val="24"/>
        </w:rPr>
      </w:pPr>
      <w:r>
        <w:rPr>
          <w:rFonts w:ascii="宋体" w:hAnsi="宋体"/>
          <w:sz w:val="24"/>
        </w:rPr>
        <w:t>采购代理机构将在“</w:t>
      </w:r>
      <w:r>
        <w:rPr>
          <w:rFonts w:ascii="宋体" w:hAnsi="宋体"/>
          <w:b/>
          <w:sz w:val="24"/>
        </w:rPr>
        <w:t>供应商须知前附表</w:t>
      </w:r>
      <w:r>
        <w:rPr>
          <w:rFonts w:ascii="宋体" w:hAnsi="宋体"/>
          <w:sz w:val="24"/>
        </w:rPr>
        <w:t>”规定的时间和地点进行磋商，供应商的法定代表人或其委托代理人应按时参加。</w:t>
      </w:r>
    </w:p>
    <w:p>
      <w:pPr>
        <w:pStyle w:val="5"/>
        <w:numPr>
          <w:ilvl w:val="0"/>
          <w:numId w:val="7"/>
        </w:numPr>
        <w:spacing w:before="0" w:after="0"/>
        <w:jc w:val="left"/>
        <w:rPr>
          <w:rFonts w:hAnsi="宋体"/>
          <w:szCs w:val="24"/>
        </w:rPr>
      </w:pPr>
      <w:bookmarkStart w:id="172" w:name="_Toc337822234"/>
      <w:bookmarkStart w:id="173" w:name="_Toc13705"/>
      <w:bookmarkStart w:id="174" w:name="_Toc18553"/>
      <w:bookmarkStart w:id="175" w:name="_Toc2355"/>
      <w:r>
        <w:rPr>
          <w:rFonts w:hAnsi="宋体"/>
          <w:szCs w:val="24"/>
        </w:rPr>
        <w:t>评审</w:t>
      </w:r>
      <w:bookmarkEnd w:id="172"/>
      <w:bookmarkEnd w:id="173"/>
      <w:bookmarkEnd w:id="174"/>
      <w:bookmarkEnd w:id="175"/>
    </w:p>
    <w:p>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8</w:t>
      </w:r>
      <w:r>
        <w:rPr>
          <w:rFonts w:ascii="宋体" w:hAnsi="宋体"/>
          <w:sz w:val="24"/>
        </w:rPr>
        <w:t>.1 评审由磋商小组负责。</w:t>
      </w:r>
      <w:r>
        <w:rPr>
          <w:sz w:val="24"/>
        </w:rPr>
        <w:t>磋商小组由采购人的代表和有关专家</w:t>
      </w:r>
      <w:r>
        <w:rPr>
          <w:rFonts w:hint="eastAsia"/>
          <w:sz w:val="24"/>
        </w:rPr>
        <w:t>按相关规定</w:t>
      </w:r>
      <w:r>
        <w:rPr>
          <w:sz w:val="24"/>
        </w:rPr>
        <w:t>组成，其中专家的人数不得少于成员总数的三分之二</w:t>
      </w:r>
      <w:r>
        <w:rPr>
          <w:rFonts w:ascii="宋体" w:hAnsi="宋体"/>
          <w:sz w:val="24"/>
        </w:rPr>
        <w:t>。</w:t>
      </w:r>
    </w:p>
    <w:p>
      <w:pPr>
        <w:spacing w:line="360" w:lineRule="auto"/>
        <w:ind w:firstLine="480" w:firstLineChars="200"/>
        <w:jc w:val="left"/>
        <w:rPr>
          <w:rFonts w:ascii="宋体" w:hAnsi="宋体"/>
          <w:sz w:val="24"/>
        </w:rPr>
      </w:pPr>
      <w:bookmarkStart w:id="176" w:name="_Toc337822235"/>
      <w:bookmarkStart w:id="177" w:name="_Toc86124067"/>
      <w:r>
        <w:rPr>
          <w:rFonts w:ascii="宋体" w:hAnsi="宋体"/>
          <w:sz w:val="24"/>
        </w:rPr>
        <w:t>1</w:t>
      </w:r>
      <w:r>
        <w:rPr>
          <w:rFonts w:hint="eastAsia" w:ascii="宋体" w:hAnsi="宋体"/>
          <w:sz w:val="24"/>
        </w:rPr>
        <w:t>8</w:t>
      </w:r>
      <w:r>
        <w:rPr>
          <w:rFonts w:ascii="宋体" w:hAnsi="宋体"/>
          <w:sz w:val="24"/>
        </w:rPr>
        <w:t>.2 评审</w:t>
      </w:r>
    </w:p>
    <w:p>
      <w:pPr>
        <w:tabs>
          <w:tab w:val="left" w:pos="7980"/>
        </w:tabs>
        <w:spacing w:line="360" w:lineRule="auto"/>
        <w:ind w:firstLine="480" w:firstLineChars="200"/>
        <w:jc w:val="left"/>
        <w:rPr>
          <w:sz w:val="24"/>
        </w:rPr>
      </w:pPr>
      <w:r>
        <w:rPr>
          <w:rFonts w:hint="eastAsia"/>
          <w:sz w:val="24"/>
        </w:rPr>
        <w:t>经磋商确定最终采购需求和提交最后报价的供应商后，由磋商小组采用综合评分法对提交最后报价的供应商的响应文件和最后报价进行综合评分。</w:t>
      </w:r>
    </w:p>
    <w:p>
      <w:pPr>
        <w:pStyle w:val="5"/>
        <w:numPr>
          <w:ilvl w:val="0"/>
          <w:numId w:val="7"/>
        </w:numPr>
        <w:spacing w:before="0" w:after="0"/>
        <w:jc w:val="left"/>
        <w:rPr>
          <w:rFonts w:hAnsi="宋体"/>
          <w:szCs w:val="24"/>
        </w:rPr>
      </w:pPr>
      <w:bookmarkStart w:id="178" w:name="_Toc17225"/>
      <w:bookmarkStart w:id="179" w:name="_Toc11471"/>
      <w:bookmarkStart w:id="180" w:name="_Toc8418"/>
      <w:r>
        <w:rPr>
          <w:rFonts w:hAnsi="宋体"/>
          <w:szCs w:val="24"/>
        </w:rPr>
        <w:t>评审过程的保密</w:t>
      </w:r>
      <w:bookmarkEnd w:id="176"/>
      <w:bookmarkEnd w:id="177"/>
      <w:bookmarkEnd w:id="178"/>
      <w:bookmarkEnd w:id="179"/>
      <w:bookmarkEnd w:id="180"/>
    </w:p>
    <w:p>
      <w:pPr>
        <w:spacing w:line="360" w:lineRule="auto"/>
        <w:ind w:firstLine="480" w:firstLineChars="200"/>
        <w:jc w:val="left"/>
        <w:rPr>
          <w:rFonts w:ascii="宋体" w:hAnsi="宋体"/>
          <w:sz w:val="24"/>
        </w:rPr>
      </w:pPr>
      <w:r>
        <w:rPr>
          <w:rFonts w:ascii="宋体" w:hAnsi="宋体"/>
          <w:sz w:val="24"/>
        </w:rPr>
        <w:t>磋商开始后，直到授予供应商合同止，凡是属于审查、澄清、评审和比较的有关资料以及成交建议等均不向供应商或其他无关的人员透露。供应商在评审过程中，所进行的力图影响评审结果的不公正活动，可能导致其申请被拒绝。</w:t>
      </w:r>
    </w:p>
    <w:p>
      <w:pPr>
        <w:spacing w:line="360" w:lineRule="auto"/>
        <w:ind w:firstLine="480" w:firstLineChars="200"/>
        <w:jc w:val="left"/>
        <w:rPr>
          <w:rFonts w:ascii="宋体" w:hAnsi="宋体"/>
          <w:sz w:val="24"/>
        </w:rPr>
      </w:pPr>
      <w:r>
        <w:rPr>
          <w:rFonts w:hint="eastAsia" w:ascii="宋体" w:hAnsi="宋体"/>
          <w:sz w:val="24"/>
        </w:rPr>
        <w:t>磋商小组成员以及与评审工作有关的人员不得泄露评审情况以及评审过程中获悉的国家秘密、商业秘密。</w:t>
      </w:r>
    </w:p>
    <w:p>
      <w:pPr>
        <w:pStyle w:val="5"/>
        <w:numPr>
          <w:ilvl w:val="0"/>
          <w:numId w:val="7"/>
        </w:numPr>
        <w:spacing w:before="0" w:after="0"/>
        <w:jc w:val="left"/>
        <w:rPr>
          <w:rFonts w:hAnsi="宋体"/>
          <w:szCs w:val="24"/>
        </w:rPr>
      </w:pPr>
      <w:bookmarkStart w:id="181" w:name="_Toc739"/>
      <w:bookmarkStart w:id="182" w:name="_Toc9175"/>
      <w:bookmarkStart w:id="183" w:name="_Toc5570"/>
      <w:r>
        <w:rPr>
          <w:rFonts w:hint="eastAsia" w:hAnsi="宋体"/>
          <w:szCs w:val="24"/>
        </w:rPr>
        <w:t>供应商存在下列情况之一的，响应文件无效：</w:t>
      </w:r>
      <w:bookmarkEnd w:id="181"/>
      <w:bookmarkEnd w:id="182"/>
      <w:bookmarkEnd w:id="183"/>
    </w:p>
    <w:p>
      <w:pPr>
        <w:spacing w:line="360" w:lineRule="auto"/>
        <w:ind w:firstLine="480" w:firstLineChars="200"/>
        <w:jc w:val="left"/>
        <w:rPr>
          <w:rFonts w:ascii="宋体" w:hAnsi="宋体"/>
          <w:sz w:val="24"/>
        </w:rPr>
      </w:pPr>
      <w:r>
        <w:rPr>
          <w:rFonts w:hint="eastAsia" w:ascii="宋体" w:hAnsi="宋体"/>
          <w:sz w:val="24"/>
        </w:rPr>
        <w:t>（1）未按照磋商文件的规定提交保证金的；</w:t>
      </w:r>
    </w:p>
    <w:p>
      <w:pPr>
        <w:spacing w:line="360" w:lineRule="auto"/>
        <w:ind w:firstLine="480" w:firstLineChars="200"/>
        <w:jc w:val="left"/>
        <w:rPr>
          <w:rFonts w:ascii="宋体" w:hAnsi="宋体"/>
          <w:sz w:val="24"/>
        </w:rPr>
      </w:pPr>
      <w:r>
        <w:rPr>
          <w:rFonts w:hint="eastAsia" w:ascii="宋体" w:hAnsi="宋体"/>
          <w:sz w:val="24"/>
        </w:rPr>
        <w:t>（2）响应文件未按磋商文件要求签署、盖章的；</w:t>
      </w:r>
    </w:p>
    <w:p>
      <w:pPr>
        <w:spacing w:line="360" w:lineRule="auto"/>
        <w:ind w:firstLine="480" w:firstLineChars="200"/>
        <w:jc w:val="left"/>
        <w:rPr>
          <w:rFonts w:ascii="宋体" w:hAnsi="宋体"/>
          <w:sz w:val="24"/>
        </w:rPr>
      </w:pPr>
      <w:r>
        <w:rPr>
          <w:rFonts w:hint="eastAsia" w:ascii="宋体" w:hAnsi="宋体"/>
          <w:sz w:val="24"/>
        </w:rPr>
        <w:t>（3）不具备磋商文件中规定的资格要求的；</w:t>
      </w:r>
    </w:p>
    <w:p>
      <w:pPr>
        <w:spacing w:line="360" w:lineRule="auto"/>
        <w:ind w:firstLine="480" w:firstLineChars="200"/>
        <w:jc w:val="left"/>
        <w:rPr>
          <w:rFonts w:ascii="宋体" w:hAnsi="宋体"/>
          <w:sz w:val="24"/>
        </w:rPr>
      </w:pPr>
      <w:r>
        <w:rPr>
          <w:rFonts w:hint="eastAsia" w:ascii="宋体" w:hAnsi="宋体"/>
          <w:sz w:val="24"/>
        </w:rPr>
        <w:t>（4）最后报价超过磋商文件中规定的预算金额或者最高限价的；</w:t>
      </w:r>
    </w:p>
    <w:p>
      <w:pPr>
        <w:spacing w:line="360" w:lineRule="auto"/>
        <w:ind w:firstLine="480" w:firstLineChars="200"/>
        <w:jc w:val="left"/>
        <w:rPr>
          <w:rFonts w:ascii="宋体" w:hAnsi="宋体"/>
          <w:sz w:val="24"/>
        </w:rPr>
      </w:pPr>
      <w:r>
        <w:rPr>
          <w:rFonts w:hint="eastAsia" w:ascii="宋体" w:hAnsi="宋体"/>
          <w:sz w:val="24"/>
        </w:rPr>
        <w:t>（5）响应文件含有采购人不能接受的附加条件的；</w:t>
      </w:r>
    </w:p>
    <w:p>
      <w:pPr>
        <w:spacing w:line="360" w:lineRule="auto"/>
        <w:ind w:firstLine="480" w:firstLineChars="200"/>
        <w:jc w:val="left"/>
        <w:rPr>
          <w:rFonts w:ascii="宋体" w:hAnsi="宋体"/>
          <w:sz w:val="24"/>
        </w:rPr>
      </w:pPr>
      <w:r>
        <w:rPr>
          <w:rFonts w:hint="eastAsia" w:ascii="宋体" w:hAnsi="宋体"/>
          <w:sz w:val="24"/>
        </w:rPr>
        <w:t>（6）法律、法规和磋商文件规定的其他无效情形。</w:t>
      </w:r>
    </w:p>
    <w:p>
      <w:pPr>
        <w:pStyle w:val="5"/>
        <w:numPr>
          <w:ilvl w:val="2"/>
          <w:numId w:val="0"/>
        </w:numPr>
        <w:tabs>
          <w:tab w:val="left" w:pos="360"/>
        </w:tabs>
        <w:spacing w:before="0" w:after="0"/>
        <w:ind w:left="210"/>
        <w:jc w:val="left"/>
        <w:rPr>
          <w:rFonts w:hAnsi="宋体"/>
          <w:szCs w:val="24"/>
        </w:rPr>
      </w:pPr>
      <w:bookmarkStart w:id="184" w:name="_Toc20200"/>
      <w:bookmarkStart w:id="185" w:name="_Toc17508"/>
      <w:bookmarkStart w:id="186" w:name="_Toc29255"/>
      <w:r>
        <w:rPr>
          <w:rFonts w:hint="eastAsia" w:hAnsi="宋体"/>
          <w:szCs w:val="24"/>
        </w:rPr>
        <w:t>21. 有下列情形之一的，视为供应商串通投标，其响应文件无效：</w:t>
      </w:r>
      <w:bookmarkEnd w:id="184"/>
      <w:bookmarkEnd w:id="185"/>
      <w:bookmarkEnd w:id="186"/>
    </w:p>
    <w:p>
      <w:pPr>
        <w:spacing w:line="360" w:lineRule="auto"/>
        <w:ind w:firstLine="480" w:firstLineChars="200"/>
        <w:jc w:val="left"/>
        <w:rPr>
          <w:rFonts w:ascii="宋体" w:hAnsi="宋体"/>
          <w:sz w:val="24"/>
        </w:rPr>
      </w:pPr>
      <w:r>
        <w:rPr>
          <w:rFonts w:hint="eastAsia" w:ascii="宋体" w:hAnsi="宋体"/>
          <w:sz w:val="24"/>
        </w:rPr>
        <w:t>（1）不同供应商的响应文件由同一单位或者个人编制；</w:t>
      </w:r>
    </w:p>
    <w:p>
      <w:pPr>
        <w:spacing w:line="360" w:lineRule="auto"/>
        <w:ind w:firstLine="480" w:firstLineChars="200"/>
        <w:jc w:val="left"/>
        <w:rPr>
          <w:rFonts w:ascii="宋体" w:hAnsi="宋体"/>
          <w:sz w:val="24"/>
        </w:rPr>
      </w:pPr>
      <w:r>
        <w:rPr>
          <w:rFonts w:hint="eastAsia" w:ascii="宋体" w:hAnsi="宋体"/>
          <w:sz w:val="24"/>
        </w:rPr>
        <w:t>（2）不同供应商委托同一单位或者个人办理磋商事宜；</w:t>
      </w:r>
    </w:p>
    <w:p>
      <w:pPr>
        <w:spacing w:line="360" w:lineRule="auto"/>
        <w:ind w:firstLine="480" w:firstLineChars="200"/>
        <w:jc w:val="left"/>
        <w:rPr>
          <w:rFonts w:ascii="宋体" w:hAnsi="宋体"/>
          <w:sz w:val="24"/>
        </w:rPr>
      </w:pPr>
      <w:r>
        <w:rPr>
          <w:rFonts w:hint="eastAsia" w:ascii="宋体" w:hAnsi="宋体"/>
          <w:sz w:val="24"/>
        </w:rPr>
        <w:t>（3）不同供应商的响应文件载明的项目管理成员或者联系人员为同一人；</w:t>
      </w:r>
    </w:p>
    <w:p>
      <w:pPr>
        <w:spacing w:line="360" w:lineRule="auto"/>
        <w:ind w:firstLine="480" w:firstLineChars="200"/>
        <w:jc w:val="left"/>
        <w:rPr>
          <w:rFonts w:ascii="宋体" w:hAnsi="宋体"/>
          <w:sz w:val="24"/>
        </w:rPr>
      </w:pPr>
      <w:r>
        <w:rPr>
          <w:rFonts w:hint="eastAsia" w:ascii="宋体" w:hAnsi="宋体"/>
          <w:sz w:val="24"/>
        </w:rPr>
        <w:t>（4）不同供应商的响应文件异常一致或者最后报价呈规律性差异；</w:t>
      </w:r>
    </w:p>
    <w:p>
      <w:pPr>
        <w:spacing w:line="360" w:lineRule="auto"/>
        <w:ind w:firstLine="480" w:firstLineChars="200"/>
        <w:jc w:val="left"/>
        <w:rPr>
          <w:rFonts w:ascii="宋体" w:hAnsi="宋体"/>
          <w:sz w:val="24"/>
        </w:rPr>
      </w:pPr>
      <w:r>
        <w:rPr>
          <w:rFonts w:hint="eastAsia" w:ascii="宋体" w:hAnsi="宋体"/>
          <w:sz w:val="24"/>
        </w:rPr>
        <w:t>（5）不同供应商的响应文件相互混装；</w:t>
      </w:r>
    </w:p>
    <w:p>
      <w:pPr>
        <w:spacing w:line="360" w:lineRule="auto"/>
        <w:ind w:firstLine="480" w:firstLineChars="200"/>
        <w:jc w:val="left"/>
        <w:rPr>
          <w:rFonts w:ascii="宋体" w:hAnsi="宋体"/>
          <w:sz w:val="24"/>
        </w:rPr>
      </w:pPr>
      <w:r>
        <w:rPr>
          <w:rFonts w:hint="eastAsia" w:ascii="宋体" w:hAnsi="宋体"/>
          <w:sz w:val="24"/>
        </w:rPr>
        <w:t>（6）不同供应商的保证金从同一单位或者个人的账户转出。</w:t>
      </w:r>
    </w:p>
    <w:p>
      <w:pPr>
        <w:pStyle w:val="5"/>
        <w:numPr>
          <w:ilvl w:val="2"/>
          <w:numId w:val="0"/>
        </w:numPr>
        <w:tabs>
          <w:tab w:val="left" w:pos="360"/>
        </w:tabs>
        <w:spacing w:before="0" w:after="0"/>
        <w:ind w:left="210"/>
        <w:jc w:val="left"/>
        <w:rPr>
          <w:rFonts w:hAnsi="宋体"/>
          <w:szCs w:val="24"/>
        </w:rPr>
      </w:pPr>
      <w:bookmarkStart w:id="187" w:name="_Toc14738"/>
      <w:bookmarkStart w:id="188" w:name="_Toc15679"/>
      <w:bookmarkStart w:id="189" w:name="_Toc86124068"/>
      <w:bookmarkStart w:id="190" w:name="_Toc379789619"/>
      <w:bookmarkStart w:id="191" w:name="_Toc337822236"/>
      <w:bookmarkStart w:id="192" w:name="_Toc7807"/>
      <w:bookmarkStart w:id="193" w:name="_Toc337822237"/>
      <w:bookmarkStart w:id="194" w:name="_Toc86124069"/>
      <w:r>
        <w:rPr>
          <w:rFonts w:hint="eastAsia" w:hAnsi="宋体"/>
          <w:szCs w:val="24"/>
        </w:rPr>
        <w:t xml:space="preserve">22. </w:t>
      </w:r>
      <w:r>
        <w:rPr>
          <w:rFonts w:hAnsi="宋体"/>
          <w:szCs w:val="24"/>
        </w:rPr>
        <w:t>出现下列情形之一的，</w:t>
      </w:r>
      <w:r>
        <w:rPr>
          <w:rFonts w:hint="eastAsia" w:hAnsi="宋体"/>
          <w:szCs w:val="24"/>
        </w:rPr>
        <w:t>项目</w:t>
      </w:r>
      <w:r>
        <w:rPr>
          <w:rFonts w:hAnsi="宋体"/>
          <w:szCs w:val="24"/>
        </w:rPr>
        <w:t>终止：</w:t>
      </w:r>
      <w:bookmarkEnd w:id="187"/>
      <w:bookmarkEnd w:id="188"/>
      <w:bookmarkEnd w:id="189"/>
      <w:bookmarkEnd w:id="190"/>
      <w:bookmarkEnd w:id="191"/>
      <w:bookmarkEnd w:id="192"/>
    </w:p>
    <w:p>
      <w:pPr>
        <w:spacing w:line="360" w:lineRule="auto"/>
        <w:ind w:firstLine="480" w:firstLineChars="200"/>
        <w:jc w:val="left"/>
        <w:rPr>
          <w:rFonts w:ascii="宋体" w:hAnsi="宋体"/>
          <w:sz w:val="24"/>
        </w:rPr>
      </w:pPr>
      <w:r>
        <w:rPr>
          <w:rFonts w:ascii="宋体" w:hAnsi="宋体"/>
          <w:sz w:val="24"/>
        </w:rPr>
        <w:t>（1）因情况变化，不再符合规定的竞争性磋商</w:t>
      </w:r>
      <w:r>
        <w:rPr>
          <w:rFonts w:hint="eastAsia" w:ascii="宋体" w:hAnsi="宋体"/>
          <w:sz w:val="24"/>
        </w:rPr>
        <w:t>采购人</w:t>
      </w:r>
      <w:r>
        <w:rPr>
          <w:rFonts w:ascii="宋体" w:hAnsi="宋体"/>
          <w:sz w:val="24"/>
        </w:rPr>
        <w:t>式适用情形的；</w:t>
      </w:r>
    </w:p>
    <w:p>
      <w:pPr>
        <w:spacing w:line="360" w:lineRule="auto"/>
        <w:ind w:firstLine="480" w:firstLineChars="200"/>
        <w:jc w:val="left"/>
        <w:rPr>
          <w:rFonts w:ascii="宋体" w:hAnsi="宋体"/>
          <w:sz w:val="24"/>
        </w:rPr>
      </w:pPr>
      <w:r>
        <w:rPr>
          <w:rFonts w:ascii="宋体" w:hAnsi="宋体"/>
          <w:sz w:val="24"/>
        </w:rPr>
        <w:t>（2）出现影响采购公正的违法、违规行为的；</w:t>
      </w:r>
    </w:p>
    <w:p>
      <w:pPr>
        <w:spacing w:line="360" w:lineRule="auto"/>
        <w:ind w:firstLine="480" w:firstLineChars="200"/>
        <w:jc w:val="left"/>
        <w:rPr>
          <w:rFonts w:ascii="宋体" w:hAnsi="宋体"/>
          <w:sz w:val="24"/>
        </w:rPr>
      </w:pPr>
      <w:r>
        <w:rPr>
          <w:rFonts w:hint="eastAsia" w:ascii="宋体" w:hAnsi="宋体"/>
          <w:sz w:val="24"/>
        </w:rPr>
        <w:t>（3）根据《财政部关于政府采购竞争性磋商采购人式管理暂行办法有关问题的补充通知》的规定，采用竞争性磋商采购人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60" w:lineRule="auto"/>
        <w:ind w:firstLine="480" w:firstLineChars="200"/>
        <w:jc w:val="left"/>
        <w:rPr>
          <w:rFonts w:ascii="宋体" w:hAnsi="宋体"/>
          <w:b/>
          <w:sz w:val="24"/>
        </w:rPr>
      </w:pPr>
    </w:p>
    <w:p>
      <w:pPr>
        <w:pStyle w:val="4"/>
        <w:numPr>
          <w:ilvl w:val="0"/>
          <w:numId w:val="0"/>
        </w:numPr>
        <w:spacing w:before="0" w:after="0"/>
        <w:ind w:left="425"/>
        <w:rPr>
          <w:rFonts w:ascii="宋体" w:hAnsi="宋体"/>
          <w:sz w:val="24"/>
          <w:szCs w:val="24"/>
        </w:rPr>
      </w:pPr>
      <w:bookmarkStart w:id="195" w:name="_Toc12952"/>
      <w:bookmarkStart w:id="196" w:name="_Toc32726"/>
      <w:bookmarkStart w:id="197" w:name="_Toc15088"/>
      <w:r>
        <w:rPr>
          <w:rFonts w:ascii="宋体" w:hAnsi="宋体"/>
          <w:sz w:val="24"/>
          <w:szCs w:val="24"/>
        </w:rPr>
        <w:t>六、成交结果</w:t>
      </w:r>
      <w:bookmarkEnd w:id="193"/>
      <w:bookmarkEnd w:id="194"/>
      <w:bookmarkEnd w:id="195"/>
      <w:bookmarkEnd w:id="196"/>
      <w:bookmarkEnd w:id="197"/>
    </w:p>
    <w:p>
      <w:pPr>
        <w:pStyle w:val="5"/>
        <w:numPr>
          <w:ilvl w:val="2"/>
          <w:numId w:val="0"/>
        </w:numPr>
        <w:tabs>
          <w:tab w:val="left" w:pos="360"/>
        </w:tabs>
        <w:spacing w:before="0" w:after="0"/>
        <w:jc w:val="left"/>
        <w:rPr>
          <w:rFonts w:hAnsi="宋体"/>
          <w:szCs w:val="24"/>
        </w:rPr>
      </w:pPr>
      <w:bookmarkStart w:id="198" w:name="_Toc753"/>
      <w:bookmarkStart w:id="199" w:name="_Toc86124070"/>
      <w:bookmarkStart w:id="200" w:name="_Toc337822238"/>
      <w:bookmarkStart w:id="201" w:name="_Toc21240"/>
      <w:bookmarkStart w:id="202" w:name="_Toc3835"/>
      <w:r>
        <w:rPr>
          <w:rFonts w:hint="eastAsia" w:hAnsi="宋体"/>
          <w:szCs w:val="24"/>
        </w:rPr>
        <w:t xml:space="preserve">23. </w:t>
      </w:r>
      <w:r>
        <w:rPr>
          <w:rFonts w:hAnsi="宋体"/>
          <w:szCs w:val="24"/>
        </w:rPr>
        <w:t>成交</w:t>
      </w:r>
      <w:r>
        <w:rPr>
          <w:rFonts w:hint="eastAsia" w:hAnsi="宋体"/>
          <w:szCs w:val="24"/>
        </w:rPr>
        <w:t>供应商</w:t>
      </w:r>
      <w:r>
        <w:rPr>
          <w:rFonts w:hAnsi="宋体"/>
          <w:szCs w:val="24"/>
        </w:rPr>
        <w:t>的确定</w:t>
      </w:r>
      <w:bookmarkEnd w:id="198"/>
      <w:bookmarkEnd w:id="199"/>
      <w:bookmarkEnd w:id="200"/>
      <w:bookmarkEnd w:id="201"/>
      <w:bookmarkEnd w:id="202"/>
    </w:p>
    <w:p>
      <w:pPr>
        <w:spacing w:line="360" w:lineRule="auto"/>
        <w:ind w:firstLine="480" w:firstLineChars="200"/>
        <w:jc w:val="left"/>
        <w:rPr>
          <w:rFonts w:ascii="宋体" w:hAnsi="宋体"/>
          <w:sz w:val="24"/>
        </w:rPr>
      </w:pPr>
      <w:r>
        <w:rPr>
          <w:rFonts w:hint="eastAsia" w:ascii="宋体" w:hAnsi="宋体"/>
          <w:sz w:val="24"/>
        </w:rPr>
        <w:t>23.1</w:t>
      </w:r>
      <w:r>
        <w:rPr>
          <w:rFonts w:ascii="宋体" w:hAnsi="宋体"/>
          <w:sz w:val="24"/>
        </w:rPr>
        <w:t xml:space="preserve"> 采购代理机构在评审结束后</w:t>
      </w:r>
      <w:r>
        <w:rPr>
          <w:rFonts w:hint="eastAsia" w:ascii="宋体" w:hAnsi="宋体"/>
          <w:sz w:val="24"/>
        </w:rPr>
        <w:t>二</w:t>
      </w:r>
      <w:r>
        <w:rPr>
          <w:rFonts w:ascii="宋体" w:hAnsi="宋体"/>
          <w:sz w:val="24"/>
        </w:rPr>
        <w:t>个工作日内将评审报告送采购人确认。</w:t>
      </w:r>
    </w:p>
    <w:p>
      <w:pPr>
        <w:spacing w:line="360" w:lineRule="auto"/>
        <w:ind w:firstLine="480" w:firstLineChars="200"/>
        <w:jc w:val="left"/>
        <w:rPr>
          <w:rFonts w:ascii="宋体" w:hAnsi="宋体"/>
          <w:sz w:val="24"/>
        </w:rPr>
      </w:pPr>
      <w:bookmarkStart w:id="203" w:name="_Toc337822239"/>
      <w:r>
        <w:rPr>
          <w:rFonts w:ascii="宋体" w:hAnsi="宋体"/>
          <w:sz w:val="24"/>
        </w:rPr>
        <w:t>2</w:t>
      </w:r>
      <w:r>
        <w:rPr>
          <w:rFonts w:hint="eastAsia" w:ascii="宋体" w:hAnsi="宋体"/>
          <w:sz w:val="24"/>
        </w:rPr>
        <w:t>3</w:t>
      </w:r>
      <w:r>
        <w:rPr>
          <w:rFonts w:ascii="宋体" w:hAnsi="宋体"/>
          <w:sz w:val="24"/>
        </w:rPr>
        <w:t>.2 采购人在收到评审报告后五个工作日内，按照评审报告中推荐的成交</w:t>
      </w:r>
      <w:r>
        <w:rPr>
          <w:rFonts w:hint="eastAsia" w:ascii="宋体" w:hAnsi="宋体"/>
          <w:sz w:val="24"/>
        </w:rPr>
        <w:t>供应商</w:t>
      </w:r>
      <w:r>
        <w:rPr>
          <w:rFonts w:ascii="宋体" w:hAnsi="宋体"/>
          <w:sz w:val="24"/>
        </w:rPr>
        <w:t>顺序确定成交</w:t>
      </w:r>
      <w:r>
        <w:rPr>
          <w:rFonts w:hint="eastAsia" w:ascii="宋体" w:hAnsi="宋体"/>
          <w:sz w:val="24"/>
        </w:rPr>
        <w:t>供应商</w:t>
      </w:r>
      <w:r>
        <w:rPr>
          <w:rFonts w:ascii="宋体" w:hAnsi="宋体"/>
          <w:sz w:val="24"/>
        </w:rPr>
        <w:t>。</w:t>
      </w:r>
    </w:p>
    <w:p>
      <w:pPr>
        <w:pStyle w:val="5"/>
        <w:numPr>
          <w:ilvl w:val="2"/>
          <w:numId w:val="0"/>
        </w:numPr>
        <w:tabs>
          <w:tab w:val="left" w:pos="360"/>
        </w:tabs>
        <w:spacing w:before="0" w:after="0"/>
        <w:jc w:val="left"/>
        <w:rPr>
          <w:rFonts w:hAnsi="宋体"/>
          <w:szCs w:val="24"/>
        </w:rPr>
      </w:pPr>
      <w:bookmarkStart w:id="204" w:name="_Toc32214"/>
      <w:bookmarkStart w:id="205" w:name="_Toc3906"/>
      <w:bookmarkStart w:id="206" w:name="_Toc12465"/>
      <w:r>
        <w:rPr>
          <w:rFonts w:hint="eastAsia" w:hAnsi="宋体"/>
          <w:szCs w:val="24"/>
        </w:rPr>
        <w:t xml:space="preserve">24. </w:t>
      </w:r>
      <w:r>
        <w:rPr>
          <w:rFonts w:hAnsi="宋体"/>
          <w:szCs w:val="24"/>
        </w:rPr>
        <w:t>成交通知书</w:t>
      </w:r>
      <w:bookmarkEnd w:id="203"/>
      <w:bookmarkEnd w:id="204"/>
      <w:bookmarkEnd w:id="205"/>
      <w:bookmarkEnd w:id="206"/>
    </w:p>
    <w:p>
      <w:pPr>
        <w:spacing w:line="360" w:lineRule="auto"/>
        <w:ind w:firstLine="480" w:firstLineChars="200"/>
        <w:jc w:val="left"/>
        <w:rPr>
          <w:rFonts w:ascii="宋体" w:hAnsi="宋体"/>
          <w:sz w:val="24"/>
        </w:rPr>
      </w:pPr>
      <w:r>
        <w:rPr>
          <w:rFonts w:hint="eastAsia" w:ascii="宋体" w:hAnsi="宋体"/>
          <w:sz w:val="24"/>
        </w:rPr>
        <w:t>24</w:t>
      </w:r>
      <w:r>
        <w:rPr>
          <w:rFonts w:ascii="宋体" w:hAnsi="宋体"/>
          <w:sz w:val="24"/>
        </w:rPr>
        <w:t>.1</w:t>
      </w:r>
      <w:r>
        <w:rPr>
          <w:rFonts w:hint="eastAsia" w:ascii="宋体" w:hAnsi="宋体"/>
          <w:sz w:val="24"/>
        </w:rPr>
        <w:t>成交供应商确定后2个工作日内，成交结果由采购代理机构在指定网上（网站详见磋商公告）公告，同时向成交供应商发出成交通知书。</w:t>
      </w:r>
    </w:p>
    <w:p>
      <w:pPr>
        <w:spacing w:line="360" w:lineRule="auto"/>
        <w:ind w:firstLine="480" w:firstLineChars="200"/>
        <w:jc w:val="left"/>
        <w:rPr>
          <w:rFonts w:ascii="宋体" w:hAnsi="宋体"/>
          <w:sz w:val="24"/>
        </w:rPr>
      </w:pPr>
      <w:r>
        <w:rPr>
          <w:rFonts w:hint="eastAsia" w:ascii="宋体" w:hAnsi="宋体"/>
          <w:sz w:val="24"/>
        </w:rPr>
        <w:t>24</w:t>
      </w:r>
      <w:r>
        <w:rPr>
          <w:rFonts w:ascii="宋体" w:hAnsi="宋体"/>
          <w:sz w:val="24"/>
        </w:rPr>
        <w:t>.2 成交通知书是合同的一个组成部分。</w:t>
      </w:r>
    </w:p>
    <w:p>
      <w:pPr>
        <w:pStyle w:val="5"/>
        <w:numPr>
          <w:ilvl w:val="2"/>
          <w:numId w:val="0"/>
        </w:numPr>
        <w:tabs>
          <w:tab w:val="left" w:pos="360"/>
        </w:tabs>
        <w:spacing w:before="0" w:after="0"/>
        <w:jc w:val="left"/>
        <w:rPr>
          <w:rFonts w:hAnsi="宋体"/>
          <w:szCs w:val="24"/>
        </w:rPr>
      </w:pPr>
      <w:bookmarkStart w:id="207" w:name="_Toc86124072"/>
      <w:bookmarkStart w:id="208" w:name="_Toc11959"/>
      <w:bookmarkStart w:id="209" w:name="_Toc337822240"/>
      <w:bookmarkStart w:id="210" w:name="_Toc18134"/>
      <w:bookmarkStart w:id="211" w:name="_Toc25660"/>
      <w:r>
        <w:rPr>
          <w:rFonts w:hint="eastAsia" w:hAnsi="宋体"/>
          <w:szCs w:val="24"/>
        </w:rPr>
        <w:t xml:space="preserve">25. </w:t>
      </w:r>
      <w:r>
        <w:rPr>
          <w:rFonts w:hAnsi="宋体"/>
          <w:szCs w:val="24"/>
        </w:rPr>
        <w:t>签订合同</w:t>
      </w:r>
      <w:bookmarkEnd w:id="207"/>
      <w:bookmarkEnd w:id="208"/>
      <w:bookmarkEnd w:id="209"/>
      <w:bookmarkEnd w:id="210"/>
      <w:bookmarkEnd w:id="211"/>
    </w:p>
    <w:p>
      <w:pPr>
        <w:spacing w:line="360" w:lineRule="auto"/>
        <w:ind w:firstLine="480" w:firstLineChars="200"/>
        <w:jc w:val="left"/>
        <w:rPr>
          <w:rFonts w:ascii="宋体" w:hAnsi="宋体"/>
          <w:sz w:val="24"/>
        </w:rPr>
      </w:pPr>
      <w:r>
        <w:rPr>
          <w:rFonts w:hint="eastAsia" w:ascii="宋体" w:hAnsi="宋体"/>
          <w:sz w:val="24"/>
        </w:rPr>
        <w:t>25</w:t>
      </w:r>
      <w:r>
        <w:rPr>
          <w:rFonts w:ascii="宋体" w:hAnsi="宋体"/>
          <w:sz w:val="24"/>
        </w:rPr>
        <w:t>.1 成交</w:t>
      </w:r>
      <w:r>
        <w:rPr>
          <w:rFonts w:hint="eastAsia" w:ascii="宋体" w:hAnsi="宋体"/>
          <w:sz w:val="24"/>
        </w:rPr>
        <w:t>供应商</w:t>
      </w:r>
      <w:r>
        <w:rPr>
          <w:rFonts w:ascii="宋体" w:hAnsi="宋体"/>
          <w:sz w:val="24"/>
        </w:rPr>
        <w:t>收到成交通知书后，按磋商文件、响应文件及有关澄清承诺书的要求与采购人签订合同，合同格式以</w:t>
      </w:r>
      <w:r>
        <w:rPr>
          <w:rFonts w:hint="eastAsia" w:ascii="宋体" w:hAnsi="宋体"/>
          <w:sz w:val="24"/>
        </w:rPr>
        <w:t>云南省政府采购和出让中心</w:t>
      </w:r>
      <w:r>
        <w:rPr>
          <w:rFonts w:ascii="宋体" w:hAnsi="宋体"/>
          <w:sz w:val="24"/>
        </w:rPr>
        <w:t>领取的合同格式为准。</w:t>
      </w:r>
    </w:p>
    <w:p>
      <w:pPr>
        <w:spacing w:line="360" w:lineRule="auto"/>
        <w:ind w:firstLine="480" w:firstLineChars="200"/>
        <w:jc w:val="left"/>
        <w:rPr>
          <w:rFonts w:ascii="宋体" w:hAnsi="宋体" w:cs="宋体"/>
          <w:kern w:val="0"/>
          <w:sz w:val="24"/>
        </w:rPr>
      </w:pPr>
      <w:r>
        <w:rPr>
          <w:rFonts w:hint="eastAsia" w:ascii="宋体" w:hAnsi="宋体"/>
          <w:sz w:val="24"/>
        </w:rPr>
        <w:t>25</w:t>
      </w:r>
      <w:r>
        <w:rPr>
          <w:rFonts w:ascii="宋体" w:hAnsi="宋体"/>
          <w:sz w:val="24"/>
        </w:rPr>
        <w:t xml:space="preserve">.2 </w:t>
      </w:r>
      <w:r>
        <w:rPr>
          <w:sz w:val="24"/>
        </w:rPr>
        <w:t>成交</w:t>
      </w:r>
      <w:r>
        <w:rPr>
          <w:rFonts w:hint="eastAsia"/>
          <w:sz w:val="24"/>
        </w:rPr>
        <w:t>供应商拒绝与采购人签订合同的，采购人可以按照评审报告推荐的成交或候选人名单排序，确定下一候选人为成交供应商</w:t>
      </w:r>
      <w:r>
        <w:rPr>
          <w:rFonts w:ascii="宋体" w:hAnsi="宋体" w:cs="宋体"/>
          <w:kern w:val="0"/>
          <w:sz w:val="24"/>
        </w:rPr>
        <w:t>。</w:t>
      </w:r>
    </w:p>
    <w:p>
      <w:pPr>
        <w:pStyle w:val="5"/>
        <w:numPr>
          <w:ilvl w:val="2"/>
          <w:numId w:val="0"/>
        </w:numPr>
        <w:tabs>
          <w:tab w:val="left" w:pos="360"/>
        </w:tabs>
        <w:spacing w:before="0" w:after="0"/>
        <w:jc w:val="left"/>
        <w:rPr>
          <w:rFonts w:hint="eastAsia" w:hAnsi="宋体"/>
          <w:szCs w:val="24"/>
        </w:rPr>
      </w:pPr>
      <w:bookmarkStart w:id="212" w:name="_Toc86124073"/>
      <w:bookmarkStart w:id="213" w:name="_Toc3273"/>
      <w:bookmarkStart w:id="214" w:name="_Toc8929"/>
      <w:bookmarkStart w:id="215" w:name="_Toc337822241"/>
      <w:bookmarkStart w:id="216" w:name="_Toc26889"/>
      <w:r>
        <w:rPr>
          <w:rFonts w:hint="eastAsia" w:hAnsi="宋体"/>
          <w:szCs w:val="24"/>
        </w:rPr>
        <w:t>26. 履约保证金</w:t>
      </w:r>
      <w:bookmarkEnd w:id="212"/>
      <w:bookmarkEnd w:id="213"/>
      <w:bookmarkEnd w:id="214"/>
      <w:bookmarkEnd w:id="215"/>
      <w:r>
        <w:rPr>
          <w:rFonts w:hint="eastAsia" w:hAnsi="宋体"/>
          <w:szCs w:val="24"/>
        </w:rPr>
        <w:t>：</w:t>
      </w:r>
      <w:bookmarkEnd w:id="216"/>
    </w:p>
    <w:p>
      <w:pPr>
        <w:spacing w:line="360" w:lineRule="auto"/>
        <w:ind w:firstLine="480" w:firstLineChars="200"/>
        <w:jc w:val="left"/>
        <w:rPr>
          <w:rFonts w:ascii="宋体" w:hAnsi="宋体"/>
          <w:sz w:val="24"/>
        </w:rPr>
      </w:pPr>
      <w:r>
        <w:rPr>
          <w:rFonts w:hint="eastAsia" w:ascii="宋体" w:hAnsi="宋体"/>
          <w:sz w:val="24"/>
          <w:lang w:val="en-US" w:eastAsia="zh-CN"/>
        </w:rPr>
        <w:t>26</w:t>
      </w:r>
      <w:r>
        <w:rPr>
          <w:rFonts w:hint="eastAsia" w:ascii="宋体" w:hAnsi="宋体"/>
          <w:sz w:val="24"/>
        </w:rPr>
        <w:t>.1 签订合同前，中标人应按“投标人须知前附表”中确定的履约保证金的金额，向</w:t>
      </w:r>
      <w:r>
        <w:rPr>
          <w:rFonts w:ascii="宋体" w:hAnsi="宋体"/>
          <w:sz w:val="24"/>
        </w:rPr>
        <w:t>采购人</w:t>
      </w:r>
      <w:r>
        <w:rPr>
          <w:rFonts w:hint="eastAsia" w:ascii="宋体" w:hAnsi="宋体"/>
          <w:sz w:val="24"/>
        </w:rPr>
        <w:t>交纳履约保证金，否则，视中标人违约。</w:t>
      </w:r>
    </w:p>
    <w:p>
      <w:pPr>
        <w:spacing w:line="360" w:lineRule="auto"/>
        <w:ind w:firstLine="480" w:firstLineChars="200"/>
        <w:jc w:val="left"/>
        <w:rPr>
          <w:rFonts w:ascii="宋体" w:hAnsi="宋体"/>
          <w:sz w:val="24"/>
        </w:rPr>
      </w:pPr>
      <w:r>
        <w:rPr>
          <w:rFonts w:hint="eastAsia" w:ascii="宋体" w:hAnsi="宋体"/>
          <w:sz w:val="24"/>
          <w:lang w:val="en-US" w:eastAsia="zh-CN"/>
        </w:rPr>
        <w:t>26</w:t>
      </w:r>
      <w:r>
        <w:rPr>
          <w:rFonts w:hint="eastAsia" w:ascii="宋体" w:hAnsi="宋体"/>
          <w:sz w:val="24"/>
        </w:rPr>
        <w:t>.2 签订合同后，如中标人不按双方签订合同约定履约，则没收其全部履约保证金，履约保证金不足以赔偿损失的，按实际损失赔偿。</w:t>
      </w:r>
    </w:p>
    <w:p>
      <w:pPr>
        <w:spacing w:line="360" w:lineRule="auto"/>
        <w:ind w:firstLine="480" w:firstLineChars="200"/>
        <w:jc w:val="left"/>
        <w:rPr>
          <w:rFonts w:ascii="宋体" w:hAnsi="宋体"/>
          <w:sz w:val="24"/>
        </w:rPr>
      </w:pPr>
      <w:r>
        <w:rPr>
          <w:rFonts w:hint="eastAsia" w:ascii="宋体" w:hAnsi="宋体"/>
          <w:sz w:val="24"/>
          <w:lang w:val="en-US" w:eastAsia="zh-CN"/>
        </w:rPr>
        <w:t>26</w:t>
      </w:r>
      <w:r>
        <w:rPr>
          <w:rFonts w:hint="eastAsia" w:ascii="宋体" w:hAnsi="宋体"/>
          <w:sz w:val="24"/>
        </w:rPr>
        <w:t>.3 履约保证金按“投标人须知前附表”规定的履约保证金退还时间由</w:t>
      </w:r>
      <w:r>
        <w:rPr>
          <w:rFonts w:ascii="宋体" w:hAnsi="宋体"/>
          <w:sz w:val="24"/>
        </w:rPr>
        <w:t>采购人</w:t>
      </w:r>
      <w:r>
        <w:rPr>
          <w:rFonts w:hint="eastAsia" w:ascii="宋体" w:hAnsi="宋体"/>
          <w:sz w:val="24"/>
        </w:rPr>
        <w:t>退还</w:t>
      </w:r>
      <w:r>
        <w:rPr>
          <w:rFonts w:ascii="宋体" w:hAnsi="宋体"/>
          <w:sz w:val="24"/>
        </w:rPr>
        <w:t xml:space="preserve">。 </w:t>
      </w:r>
    </w:p>
    <w:p/>
    <w:p>
      <w:pPr>
        <w:pStyle w:val="4"/>
        <w:numPr>
          <w:ilvl w:val="0"/>
          <w:numId w:val="0"/>
        </w:numPr>
        <w:spacing w:before="0" w:after="0"/>
        <w:ind w:left="425"/>
        <w:rPr>
          <w:rFonts w:ascii="宋体" w:hAnsi="宋体"/>
          <w:sz w:val="24"/>
          <w:szCs w:val="24"/>
        </w:rPr>
      </w:pPr>
      <w:bookmarkStart w:id="217" w:name="_Toc10"/>
      <w:bookmarkStart w:id="218" w:name="_Toc86124074"/>
      <w:bookmarkStart w:id="219" w:name="_Toc337822242"/>
      <w:bookmarkStart w:id="220" w:name="_Toc27864"/>
      <w:bookmarkStart w:id="221" w:name="_Toc19632"/>
      <w:r>
        <w:rPr>
          <w:rFonts w:ascii="宋体" w:hAnsi="宋体"/>
          <w:sz w:val="24"/>
          <w:szCs w:val="24"/>
        </w:rPr>
        <w:t>七、其他事项</w:t>
      </w:r>
      <w:bookmarkEnd w:id="217"/>
    </w:p>
    <w:bookmarkEnd w:id="218"/>
    <w:bookmarkEnd w:id="219"/>
    <w:bookmarkEnd w:id="220"/>
    <w:bookmarkEnd w:id="221"/>
    <w:p>
      <w:pPr>
        <w:pStyle w:val="5"/>
        <w:numPr>
          <w:ilvl w:val="2"/>
          <w:numId w:val="0"/>
        </w:numPr>
        <w:spacing w:before="0" w:after="0"/>
        <w:jc w:val="both"/>
        <w:rPr>
          <w:rFonts w:hAnsi="宋体"/>
          <w:szCs w:val="24"/>
        </w:rPr>
      </w:pPr>
      <w:bookmarkStart w:id="222" w:name="_Toc32700"/>
      <w:r>
        <w:rPr>
          <w:rFonts w:hint="eastAsia" w:hAnsi="宋体"/>
          <w:szCs w:val="24"/>
        </w:rPr>
        <w:t>2</w:t>
      </w:r>
      <w:bookmarkStart w:id="223" w:name="_Toc337822243"/>
      <w:bookmarkStart w:id="224" w:name="_Toc8084"/>
      <w:bookmarkStart w:id="225" w:name="_Toc24537"/>
      <w:r>
        <w:rPr>
          <w:rFonts w:hint="eastAsia" w:hAnsi="宋体"/>
          <w:szCs w:val="24"/>
        </w:rPr>
        <w:t xml:space="preserve">7. </w:t>
      </w:r>
      <w:r>
        <w:rPr>
          <w:rFonts w:hAnsi="宋体"/>
          <w:szCs w:val="24"/>
        </w:rPr>
        <w:t>质疑和投诉</w:t>
      </w:r>
      <w:bookmarkEnd w:id="222"/>
    </w:p>
    <w:bookmarkEnd w:id="223"/>
    <w:bookmarkEnd w:id="224"/>
    <w:bookmarkEnd w:id="225"/>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7</w:t>
      </w:r>
      <w:r>
        <w:rPr>
          <w:rFonts w:ascii="宋体" w:hAnsi="宋体"/>
          <w:sz w:val="24"/>
        </w:rPr>
        <w:t>.</w:t>
      </w:r>
      <w:r>
        <w:rPr>
          <w:rFonts w:hint="eastAsia" w:ascii="宋体" w:hAnsi="宋体"/>
          <w:sz w:val="24"/>
        </w:rPr>
        <w:t>1</w:t>
      </w:r>
      <w:r>
        <w:rPr>
          <w:rFonts w:ascii="宋体" w:hAnsi="宋体"/>
          <w:sz w:val="24"/>
        </w:rPr>
        <w:t> </w:t>
      </w:r>
      <w:r>
        <w:rPr>
          <w:rFonts w:hint="eastAsia" w:ascii="宋体" w:hAnsi="宋体"/>
          <w:sz w:val="24"/>
        </w:rPr>
        <w:t>供应商</w:t>
      </w:r>
      <w:r>
        <w:rPr>
          <w:rFonts w:ascii="宋体" w:hAnsi="宋体"/>
          <w:sz w:val="24"/>
        </w:rPr>
        <w:t>认为</w:t>
      </w:r>
      <w:r>
        <w:rPr>
          <w:rFonts w:hint="eastAsia" w:ascii="宋体" w:hAnsi="宋体"/>
          <w:sz w:val="24"/>
        </w:rPr>
        <w:t>磋商</w:t>
      </w:r>
      <w:r>
        <w:rPr>
          <w:rFonts w:ascii="宋体" w:hAnsi="宋体"/>
          <w:sz w:val="24"/>
        </w:rPr>
        <w:t>文件、</w:t>
      </w:r>
      <w:r>
        <w:rPr>
          <w:rFonts w:hint="eastAsia" w:ascii="宋体" w:hAnsi="宋体"/>
          <w:sz w:val="24"/>
        </w:rPr>
        <w:t>磋商</w:t>
      </w:r>
      <w:r>
        <w:rPr>
          <w:rFonts w:ascii="宋体" w:hAnsi="宋体"/>
          <w:sz w:val="24"/>
        </w:rPr>
        <w:t>过程和</w:t>
      </w:r>
      <w:r>
        <w:rPr>
          <w:rFonts w:hint="eastAsia" w:ascii="宋体" w:hAnsi="宋体"/>
          <w:sz w:val="24"/>
        </w:rPr>
        <w:t>成交</w:t>
      </w:r>
      <w:r>
        <w:rPr>
          <w:rFonts w:ascii="宋体" w:hAnsi="宋体"/>
          <w:sz w:val="24"/>
        </w:rPr>
        <w:t>结果使自己的合法权益受到损害的，可以在知道或者应知其权益受到损害之日起七个工作日内，以书面形式（纸质原件）向下列部门或采购人提出质疑。提出质疑的</w:t>
      </w:r>
      <w:r>
        <w:rPr>
          <w:rFonts w:hint="eastAsia" w:ascii="宋体" w:hAnsi="宋体"/>
          <w:sz w:val="24"/>
        </w:rPr>
        <w:t>供应商</w:t>
      </w:r>
      <w:r>
        <w:rPr>
          <w:rFonts w:ascii="宋体" w:hAnsi="宋体"/>
          <w:sz w:val="24"/>
        </w:rPr>
        <w:t>应当是参与所质疑项目采购活动的</w:t>
      </w:r>
      <w:r>
        <w:rPr>
          <w:rFonts w:hint="eastAsia" w:ascii="宋体" w:hAnsi="宋体"/>
          <w:sz w:val="24"/>
        </w:rPr>
        <w:t>供应商</w:t>
      </w:r>
      <w:r>
        <w:rPr>
          <w:rFonts w:ascii="宋体" w:hAnsi="宋体"/>
          <w:sz w:val="24"/>
        </w:rPr>
        <w:t>，</w:t>
      </w:r>
      <w:r>
        <w:rPr>
          <w:rFonts w:hint="eastAsia" w:ascii="宋体" w:hAnsi="宋体"/>
          <w:sz w:val="24"/>
        </w:rPr>
        <w:t>供应商</w:t>
      </w:r>
      <w:r>
        <w:rPr>
          <w:rFonts w:ascii="宋体" w:hAnsi="宋体"/>
          <w:sz w:val="24"/>
        </w:rPr>
        <w:t>针对同一采购程序环节的质疑应当在法定质疑期内一次性提出，提出质疑时应当有明确的请求和必要的证明材料。</w:t>
      </w:r>
      <w:r>
        <w:rPr>
          <w:rFonts w:ascii="宋体" w:hAnsi="宋体"/>
          <w:sz w:val="24"/>
        </w:rPr>
        <w:br w:type="textWrapping"/>
      </w:r>
      <w:r>
        <w:rPr>
          <w:rFonts w:ascii="宋体" w:hAnsi="宋体"/>
          <w:sz w:val="24"/>
        </w:rPr>
        <w:t>受理质疑部门：云南省政府采购和出让中心；电话：</w:t>
      </w:r>
      <w:r>
        <w:rPr>
          <w:rFonts w:hint="eastAsia" w:ascii="宋体" w:hAnsi="宋体"/>
          <w:sz w:val="24"/>
        </w:rPr>
        <w:t>0871-65300229</w:t>
      </w:r>
      <w:r>
        <w:rPr>
          <w:rFonts w:ascii="宋体" w:hAnsi="宋体"/>
          <w:sz w:val="24"/>
        </w:rPr>
        <w:t>；地址：昆明高新区科发路269号交易大厦</w:t>
      </w:r>
      <w:r>
        <w:rPr>
          <w:rFonts w:hint="eastAsia" w:ascii="宋体" w:hAnsi="宋体"/>
          <w:sz w:val="24"/>
        </w:rPr>
        <w:t>7</w:t>
      </w:r>
      <w:r>
        <w:rPr>
          <w:rFonts w:ascii="宋体" w:hAnsi="宋体"/>
          <w:sz w:val="24"/>
        </w:rPr>
        <w:t>楼。</w:t>
      </w:r>
      <w:r>
        <w:rPr>
          <w:rFonts w:ascii="宋体" w:hAnsi="宋体"/>
          <w:sz w:val="24"/>
        </w:rPr>
        <w:br w:type="textWrapping"/>
      </w:r>
      <w:r>
        <w:rPr>
          <w:rFonts w:hint="eastAsia" w:ascii="宋体" w:hAnsi="宋体"/>
          <w:sz w:val="24"/>
        </w:rPr>
        <w:t xml:space="preserve">    27.2供应商</w:t>
      </w:r>
      <w:r>
        <w:rPr>
          <w:rFonts w:ascii="宋体" w:hAnsi="宋体"/>
          <w:sz w:val="24"/>
        </w:rPr>
        <w:t>可以委托代理人进行质疑。其授权委托书应当载明代理人的姓名或者名称、代理事项、具体权限、期限和相关事项。</w:t>
      </w:r>
      <w:r>
        <w:rPr>
          <w:rFonts w:hint="eastAsia" w:ascii="宋体" w:hAnsi="宋体"/>
          <w:sz w:val="24"/>
        </w:rPr>
        <w:t>供应商</w:t>
      </w:r>
      <w:r>
        <w:rPr>
          <w:rFonts w:ascii="宋体" w:hAnsi="宋体"/>
          <w:sz w:val="24"/>
        </w:rPr>
        <w:t>为自然人的，应当由本人签字；</w:t>
      </w:r>
      <w:r>
        <w:rPr>
          <w:rFonts w:hint="eastAsia" w:ascii="宋体" w:hAnsi="宋体"/>
          <w:sz w:val="24"/>
        </w:rPr>
        <w:t>供应商</w:t>
      </w:r>
      <w:r>
        <w:rPr>
          <w:rFonts w:ascii="宋体" w:hAnsi="宋体"/>
          <w:sz w:val="24"/>
        </w:rPr>
        <w:t>为法人或者其他组织的，应当由法定代表人、主要负责人签字或者盖章，并加盖公章。代理人提出质疑，应当提交</w:t>
      </w:r>
      <w:r>
        <w:rPr>
          <w:rFonts w:hint="eastAsia" w:ascii="宋体" w:hAnsi="宋体"/>
          <w:sz w:val="24"/>
        </w:rPr>
        <w:t>供应商</w:t>
      </w:r>
      <w:r>
        <w:rPr>
          <w:rFonts w:ascii="宋体" w:hAnsi="宋体"/>
          <w:sz w:val="24"/>
        </w:rPr>
        <w:t>签署的授权委托书。</w:t>
      </w:r>
      <w:r>
        <w:rPr>
          <w:rFonts w:ascii="宋体" w:hAnsi="宋体"/>
          <w:sz w:val="24"/>
        </w:rPr>
        <w:br w:type="textWrapping"/>
      </w:r>
      <w:r>
        <w:rPr>
          <w:rFonts w:hint="eastAsia" w:ascii="宋体" w:hAnsi="宋体"/>
          <w:sz w:val="24"/>
        </w:rPr>
        <w:t xml:space="preserve">    27.3供应商</w:t>
      </w:r>
      <w:r>
        <w:rPr>
          <w:rFonts w:ascii="宋体" w:hAnsi="宋体"/>
          <w:sz w:val="24"/>
        </w:rPr>
        <w:t>提出质疑应当提交质疑函和必要的证明材料（如材料中有外文资料应同时附上中文译本）。质疑函应当包括下列内容：</w:t>
      </w:r>
      <w:r>
        <w:rPr>
          <w:rFonts w:ascii="宋体" w:hAnsi="宋体"/>
          <w:sz w:val="24"/>
        </w:rPr>
        <w:br w:type="textWrapping"/>
      </w:r>
      <w:r>
        <w:rPr>
          <w:rFonts w:ascii="宋体" w:hAnsi="宋体"/>
          <w:sz w:val="24"/>
        </w:rPr>
        <w:t>（1）</w:t>
      </w:r>
      <w:r>
        <w:rPr>
          <w:rFonts w:hint="eastAsia" w:ascii="宋体" w:hAnsi="宋体"/>
          <w:sz w:val="24"/>
        </w:rPr>
        <w:t>供应商</w:t>
      </w:r>
      <w:r>
        <w:rPr>
          <w:rFonts w:ascii="宋体" w:hAnsi="宋体"/>
          <w:sz w:val="24"/>
        </w:rPr>
        <w:t>的姓名或者名称、地址、邮编、联系人及联系电话；</w:t>
      </w:r>
      <w:r>
        <w:rPr>
          <w:rFonts w:ascii="宋体" w:hAnsi="宋体"/>
          <w:sz w:val="24"/>
        </w:rPr>
        <w:br w:type="textWrapping"/>
      </w:r>
      <w:r>
        <w:rPr>
          <w:rFonts w:ascii="宋体" w:hAnsi="宋体"/>
          <w:sz w:val="24"/>
        </w:rPr>
        <w:t>（2）质疑项目的名称、编号；</w:t>
      </w:r>
      <w:r>
        <w:rPr>
          <w:rFonts w:ascii="宋体" w:hAnsi="宋体"/>
          <w:sz w:val="24"/>
        </w:rPr>
        <w:br w:type="textWrapping"/>
      </w:r>
      <w:r>
        <w:rPr>
          <w:rFonts w:ascii="宋体" w:hAnsi="宋体"/>
          <w:sz w:val="24"/>
        </w:rPr>
        <w:t>（3）具体、明确的质疑事项和与质疑事项相关的请求；</w:t>
      </w:r>
      <w:r>
        <w:rPr>
          <w:rFonts w:ascii="宋体" w:hAnsi="宋体"/>
          <w:sz w:val="24"/>
        </w:rPr>
        <w:br w:type="textWrapping"/>
      </w:r>
      <w:r>
        <w:rPr>
          <w:rFonts w:ascii="宋体" w:hAnsi="宋体"/>
          <w:sz w:val="24"/>
        </w:rPr>
        <w:t>（4）事实依据；</w:t>
      </w:r>
      <w:r>
        <w:rPr>
          <w:rFonts w:ascii="宋体" w:hAnsi="宋体"/>
          <w:sz w:val="24"/>
        </w:rPr>
        <w:br w:type="textWrapping"/>
      </w:r>
      <w:r>
        <w:rPr>
          <w:rFonts w:ascii="宋体" w:hAnsi="宋体"/>
          <w:sz w:val="24"/>
        </w:rPr>
        <w:t>（5）必要的法律依据；</w:t>
      </w:r>
      <w:r>
        <w:rPr>
          <w:rFonts w:ascii="宋体" w:hAnsi="宋体"/>
          <w:sz w:val="24"/>
        </w:rPr>
        <w:br w:type="textWrapping"/>
      </w:r>
      <w:r>
        <w:rPr>
          <w:rFonts w:ascii="宋体" w:hAnsi="宋体"/>
          <w:sz w:val="24"/>
        </w:rPr>
        <w:t>（6）提出质疑的日期。</w:t>
      </w:r>
      <w:r>
        <w:rPr>
          <w:rFonts w:ascii="宋体" w:hAnsi="宋体"/>
          <w:sz w:val="24"/>
        </w:rPr>
        <w:br w:type="textWrapping"/>
      </w:r>
      <w:r>
        <w:rPr>
          <w:rFonts w:hint="eastAsia" w:ascii="宋体" w:hAnsi="宋体"/>
          <w:sz w:val="24"/>
        </w:rPr>
        <w:t>供应商</w:t>
      </w:r>
      <w:r>
        <w:rPr>
          <w:rFonts w:ascii="宋体" w:hAnsi="宋体"/>
          <w:sz w:val="24"/>
        </w:rPr>
        <w:t>为自然人的，应当由本人签字；</w:t>
      </w:r>
      <w:r>
        <w:rPr>
          <w:rFonts w:hint="eastAsia" w:ascii="宋体" w:hAnsi="宋体"/>
          <w:sz w:val="24"/>
        </w:rPr>
        <w:t>供应商</w:t>
      </w:r>
      <w:r>
        <w:rPr>
          <w:rFonts w:ascii="宋体" w:hAnsi="宋体"/>
          <w:sz w:val="24"/>
        </w:rPr>
        <w:t>为法人或者其他组织的，应当由法定代表人、主要负责人，或者其授权代表签字或者盖章，并加盖公章。</w:t>
      </w:r>
      <w:r>
        <w:rPr>
          <w:rFonts w:ascii="宋体" w:hAnsi="宋体"/>
          <w:sz w:val="24"/>
        </w:rPr>
        <w:br w:type="textWrapping"/>
      </w:r>
      <w:r>
        <w:rPr>
          <w:rFonts w:ascii="宋体" w:hAnsi="宋体"/>
          <w:sz w:val="24"/>
        </w:rPr>
        <w:t>注：</w:t>
      </w:r>
      <w:r>
        <w:rPr>
          <w:rFonts w:hint="eastAsia" w:ascii="宋体" w:hAnsi="宋体"/>
          <w:sz w:val="24"/>
        </w:rPr>
        <w:t xml:space="preserve">《政府采购投标人质疑函范本》下载地址中国政府采购网（ </w:t>
      </w:r>
      <w:r>
        <w:rPr>
          <w:rFonts w:ascii="宋体" w:hAnsi="宋体"/>
          <w:sz w:val="24"/>
        </w:rPr>
        <w:t>http://www.ccgp.gov.cn/</w:t>
      </w:r>
      <w:r>
        <w:rPr>
          <w:rFonts w:hint="eastAsia" w:ascii="宋体" w:hAnsi="宋体"/>
          <w:sz w:val="24"/>
        </w:rPr>
        <w:t>）</w:t>
      </w:r>
    </w:p>
    <w:p>
      <w:pPr>
        <w:spacing w:line="360" w:lineRule="auto"/>
        <w:ind w:firstLine="480" w:firstLineChars="200"/>
        <w:jc w:val="left"/>
        <w:rPr>
          <w:rFonts w:ascii="宋体" w:hAnsi="宋体"/>
          <w:sz w:val="24"/>
        </w:rPr>
      </w:pPr>
      <w:r>
        <w:rPr>
          <w:rFonts w:hint="eastAsia" w:ascii="宋体" w:hAnsi="宋体"/>
          <w:sz w:val="24"/>
        </w:rPr>
        <w:t>27.4 采购人、采购代理机构将在收到供应商的书面质疑后七个工作日内做出答复，并以书面形式通知质疑供应商和其他有关供应商，但答复的内容不涉及商业秘密。</w:t>
      </w:r>
    </w:p>
    <w:p>
      <w:pPr>
        <w:spacing w:line="360" w:lineRule="auto"/>
        <w:ind w:firstLine="480" w:firstLineChars="200"/>
        <w:jc w:val="left"/>
        <w:rPr>
          <w:rFonts w:ascii="宋体" w:hAnsi="宋体"/>
          <w:sz w:val="24"/>
        </w:rPr>
      </w:pPr>
      <w:r>
        <w:rPr>
          <w:rFonts w:hint="eastAsia" w:ascii="宋体" w:hAnsi="宋体"/>
          <w:sz w:val="24"/>
        </w:rPr>
        <w:t>27.5投诉必须首先经过质疑程序。质疑供应商对采购人、采购代理机构的答复不满意，或者采购人、采购代理机构未在规定的时间内做出答复的，可以在答复期满后十五个工作日内书面向云南省财政厅政府采购管理处提起投诉。</w:t>
      </w:r>
    </w:p>
    <w:p>
      <w:pPr>
        <w:pStyle w:val="5"/>
        <w:numPr>
          <w:ilvl w:val="0"/>
          <w:numId w:val="8"/>
        </w:numPr>
        <w:spacing w:before="0" w:after="0"/>
        <w:jc w:val="left"/>
        <w:rPr>
          <w:rFonts w:hAnsi="宋体"/>
          <w:szCs w:val="24"/>
        </w:rPr>
      </w:pPr>
      <w:bookmarkStart w:id="226" w:name="_Toc21428"/>
      <w:r>
        <w:rPr>
          <w:rFonts w:hAnsi="宋体"/>
          <w:szCs w:val="24"/>
        </w:rPr>
        <w:t>采</w:t>
      </w:r>
      <w:bookmarkStart w:id="227" w:name="_Toc86124075"/>
      <w:bookmarkStart w:id="228" w:name="_Toc337822244"/>
      <w:bookmarkStart w:id="229" w:name="_Toc31491"/>
      <w:bookmarkStart w:id="230" w:name="_Toc24474"/>
      <w:r>
        <w:rPr>
          <w:rFonts w:hAnsi="宋体"/>
          <w:szCs w:val="24"/>
        </w:rPr>
        <w:t>购代理服务费</w:t>
      </w:r>
      <w:r>
        <w:rPr>
          <w:rFonts w:hint="eastAsia" w:hAnsi="宋体"/>
          <w:szCs w:val="24"/>
        </w:rPr>
        <w:t>：</w:t>
      </w:r>
      <w:bookmarkEnd w:id="227"/>
      <w:r>
        <w:rPr>
          <w:rFonts w:hint="eastAsia" w:hAnsi="宋体"/>
          <w:szCs w:val="24"/>
        </w:rPr>
        <w:t>无。</w:t>
      </w:r>
      <w:bookmarkEnd w:id="226"/>
      <w:bookmarkEnd w:id="228"/>
    </w:p>
    <w:bookmarkEnd w:id="229"/>
    <w:bookmarkEnd w:id="230"/>
    <w:p>
      <w:pPr>
        <w:pStyle w:val="5"/>
        <w:numPr>
          <w:ilvl w:val="0"/>
          <w:numId w:val="8"/>
        </w:numPr>
        <w:spacing w:before="0" w:after="0"/>
        <w:jc w:val="left"/>
        <w:rPr>
          <w:rFonts w:hAnsi="宋体"/>
          <w:szCs w:val="24"/>
        </w:rPr>
      </w:pPr>
      <w:bookmarkStart w:id="231" w:name="_Toc15125"/>
      <w:r>
        <w:rPr>
          <w:rFonts w:hint="eastAsia" w:hAnsi="宋体"/>
          <w:szCs w:val="24"/>
        </w:rPr>
        <w:t>实</w:t>
      </w:r>
      <w:bookmarkStart w:id="232" w:name="_Toc10260"/>
      <w:bookmarkStart w:id="233" w:name="_Toc29494"/>
      <w:bookmarkStart w:id="234" w:name="_Toc379789628"/>
      <w:r>
        <w:rPr>
          <w:rFonts w:hint="eastAsia" w:hAnsi="宋体"/>
          <w:szCs w:val="24"/>
        </w:rPr>
        <w:t>质性变动</w:t>
      </w:r>
      <w:bookmarkEnd w:id="231"/>
    </w:p>
    <w:bookmarkEnd w:id="232"/>
    <w:bookmarkEnd w:id="233"/>
    <w:bookmarkEnd w:id="234"/>
    <w:p>
      <w:pPr>
        <w:spacing w:line="360" w:lineRule="auto"/>
        <w:ind w:firstLine="480" w:firstLineChars="200"/>
        <w:jc w:val="left"/>
        <w:rPr>
          <w:sz w:val="24"/>
        </w:rPr>
      </w:pPr>
      <w:r>
        <w:rPr>
          <w:sz w:val="24"/>
        </w:rPr>
        <w:t>在磋商过程中，磋商小组可以根据磋商文件和磋商情况实质性变动采购需求中的技术、服务要求以及合同草案条款，但不得变动磋商文件中的其他内容。实质性变动的内容，须经采购人代表确认</w:t>
      </w:r>
      <w:r>
        <w:rPr>
          <w:rFonts w:hint="eastAsia"/>
          <w:sz w:val="24"/>
        </w:rPr>
        <w:t>。</w:t>
      </w:r>
    </w:p>
    <w:p>
      <w:pPr>
        <w:spacing w:line="360" w:lineRule="auto"/>
        <w:ind w:firstLine="480" w:firstLineChars="200"/>
        <w:jc w:val="left"/>
        <w:rPr>
          <w:sz w:val="24"/>
        </w:rPr>
      </w:pPr>
      <w:r>
        <w:rPr>
          <w:rFonts w:hint="eastAsia"/>
          <w:sz w:val="24"/>
        </w:rPr>
        <w:t>对磋商文件作出的实质性变动是磋商文件的有效组成部分，磋商小组应当及时以书面形式同时通知所有参加磋商的供应商。</w:t>
      </w:r>
    </w:p>
    <w:p>
      <w:pPr>
        <w:spacing w:line="360" w:lineRule="auto"/>
        <w:ind w:firstLine="480" w:firstLineChars="200"/>
        <w:jc w:val="left"/>
        <w:rPr>
          <w:sz w:val="24"/>
        </w:rPr>
      </w:pPr>
      <w:r>
        <w:rPr>
          <w:rFonts w:hint="eastAsia"/>
          <w:sz w:val="24"/>
        </w:rPr>
        <w:t>供应商应当按照磋商文件的变动情况和磋商小组的要求重新提交响应文件，并由其法定代表人或授权代表签字或者加盖鲜章。由授权代表签字的，应当附法定代表人授权书。供应商为自然人的，应当由本人签字并附身份证明。</w:t>
      </w:r>
    </w:p>
    <w:p>
      <w:pPr>
        <w:pStyle w:val="5"/>
        <w:numPr>
          <w:ilvl w:val="0"/>
          <w:numId w:val="8"/>
        </w:numPr>
        <w:spacing w:before="0" w:after="0"/>
        <w:jc w:val="left"/>
        <w:rPr>
          <w:rFonts w:hAnsi="宋体"/>
          <w:szCs w:val="24"/>
        </w:rPr>
      </w:pPr>
      <w:bookmarkStart w:id="235" w:name="_Toc1473"/>
      <w:r>
        <w:rPr>
          <w:rFonts w:hAnsi="宋体"/>
          <w:szCs w:val="24"/>
        </w:rPr>
        <w:t>需</w:t>
      </w:r>
      <w:bookmarkStart w:id="236" w:name="_Toc26676"/>
      <w:bookmarkStart w:id="237" w:name="_Toc28596"/>
      <w:bookmarkStart w:id="238" w:name="_Toc86124077"/>
      <w:bookmarkStart w:id="239" w:name="_Toc337822246"/>
      <w:r>
        <w:rPr>
          <w:rFonts w:hAnsi="宋体"/>
          <w:szCs w:val="24"/>
        </w:rPr>
        <w:t>要补充的其他内容</w:t>
      </w:r>
      <w:bookmarkEnd w:id="235"/>
    </w:p>
    <w:bookmarkEnd w:id="236"/>
    <w:bookmarkEnd w:id="237"/>
    <w:bookmarkEnd w:id="238"/>
    <w:bookmarkEnd w:id="239"/>
    <w:p>
      <w:pPr>
        <w:spacing w:line="360" w:lineRule="auto"/>
        <w:ind w:firstLine="411" w:firstLineChars="196"/>
        <w:jc w:val="left"/>
        <w:rPr>
          <w:rFonts w:ascii="宋体" w:hAnsi="宋体"/>
          <w:sz w:val="24"/>
        </w:rPr>
      </w:pPr>
      <w:r>
        <w:rPr>
          <w:rFonts w:hint="eastAsia" w:ascii="宋体" w:hAnsi="宋体" w:cs="宋体"/>
          <w:color w:val="000000"/>
          <w:szCs w:val="21"/>
        </w:rPr>
        <w:t>见“</w:t>
      </w:r>
      <w:r>
        <w:rPr>
          <w:rFonts w:hint="eastAsia" w:ascii="宋体" w:hAnsi="宋体" w:cs="宋体"/>
          <w:b/>
          <w:color w:val="000000"/>
          <w:szCs w:val="21"/>
        </w:rPr>
        <w:t>供应商须知前附表</w:t>
      </w:r>
      <w:r>
        <w:rPr>
          <w:rFonts w:hint="eastAsia" w:ascii="宋体" w:hAnsi="宋体" w:cs="宋体"/>
          <w:color w:val="000000"/>
          <w:szCs w:val="21"/>
        </w:rPr>
        <w:t>”。</w:t>
      </w:r>
    </w:p>
    <w:p>
      <w:pPr>
        <w:pStyle w:val="5"/>
        <w:numPr>
          <w:ilvl w:val="0"/>
          <w:numId w:val="8"/>
        </w:numPr>
        <w:spacing w:before="0" w:after="0"/>
        <w:jc w:val="left"/>
        <w:rPr>
          <w:rFonts w:ascii="Times New Roman"/>
          <w:szCs w:val="24"/>
        </w:rPr>
      </w:pPr>
      <w:bookmarkStart w:id="240" w:name="_Toc25408"/>
      <w:r>
        <w:rPr>
          <w:rFonts w:ascii="Times New Roman"/>
          <w:szCs w:val="24"/>
        </w:rPr>
        <w:t>解</w:t>
      </w:r>
      <w:bookmarkStart w:id="241" w:name="_Toc17800"/>
      <w:bookmarkStart w:id="242" w:name="_Toc379789630"/>
      <w:bookmarkStart w:id="243" w:name="_Toc117"/>
      <w:r>
        <w:rPr>
          <w:rFonts w:ascii="Times New Roman"/>
          <w:szCs w:val="24"/>
        </w:rPr>
        <w:t>释权</w:t>
      </w:r>
      <w:bookmarkEnd w:id="240"/>
    </w:p>
    <w:bookmarkEnd w:id="241"/>
    <w:bookmarkEnd w:id="242"/>
    <w:bookmarkEnd w:id="243"/>
    <w:p>
      <w:pPr>
        <w:spacing w:line="360" w:lineRule="auto"/>
        <w:ind w:firstLine="480" w:firstLineChars="200"/>
        <w:jc w:val="left"/>
        <w:rPr>
          <w:sz w:val="24"/>
        </w:rPr>
      </w:pPr>
      <w:r>
        <w:rPr>
          <w:sz w:val="24"/>
        </w:rPr>
        <w:t>本磋商文件是根据《中华人民共和国政府采购法》及相关法律法规编制，解释权属采购代理机构。</w:t>
      </w:r>
    </w:p>
    <w:p>
      <w:pPr>
        <w:widowControl/>
        <w:jc w:val="left"/>
        <w:rPr>
          <w:b/>
          <w:bCs/>
          <w:sz w:val="28"/>
          <w:szCs w:val="28"/>
        </w:rPr>
      </w:pPr>
      <w:r>
        <w:rPr>
          <w:szCs w:val="28"/>
        </w:rPr>
        <w:br w:type="page"/>
      </w:r>
      <w:bookmarkStart w:id="244" w:name="_Toc482610918"/>
      <w:bookmarkStart w:id="245" w:name="_Toc485043821"/>
    </w:p>
    <w:p>
      <w:pPr>
        <w:pStyle w:val="4"/>
        <w:numPr>
          <w:ilvl w:val="1"/>
          <w:numId w:val="0"/>
        </w:numPr>
        <w:spacing w:before="0" w:after="0"/>
        <w:ind w:left="425"/>
        <w:rPr>
          <w:rFonts w:ascii="Times New Roman" w:hAnsi="Times New Roman"/>
          <w:szCs w:val="28"/>
        </w:rPr>
      </w:pPr>
      <w:bookmarkStart w:id="246" w:name="_Toc4718"/>
      <w:r>
        <w:rPr>
          <w:rFonts w:hint="eastAsia" w:ascii="Times New Roman" w:hAnsi="Times New Roman"/>
          <w:szCs w:val="28"/>
        </w:rPr>
        <w:t>八</w:t>
      </w:r>
      <w:bookmarkStart w:id="247" w:name="_Toc32243"/>
      <w:bookmarkStart w:id="248" w:name="_Toc12901"/>
      <w:r>
        <w:rPr>
          <w:rFonts w:hint="eastAsia" w:ascii="Times New Roman" w:hAnsi="Times New Roman"/>
          <w:szCs w:val="28"/>
        </w:rPr>
        <w:t>、附件</w:t>
      </w:r>
      <w:bookmarkEnd w:id="246"/>
    </w:p>
    <w:bookmarkEnd w:id="244"/>
    <w:bookmarkEnd w:id="245"/>
    <w:bookmarkEnd w:id="247"/>
    <w:bookmarkEnd w:id="248"/>
    <w:p>
      <w:pPr>
        <w:spacing w:line="360" w:lineRule="auto"/>
        <w:jc w:val="left"/>
        <w:rPr>
          <w:rFonts w:ascii="宋体" w:hAnsi="宋体"/>
        </w:rPr>
      </w:pPr>
      <w:r>
        <w:rPr>
          <w:rFonts w:hint="eastAsia" w:ascii="宋体" w:hAnsi="宋体" w:cs="宋体"/>
          <w:b/>
          <w:bCs/>
          <w:kern w:val="0"/>
          <w:sz w:val="24"/>
        </w:rPr>
        <w:t>附件1：</w:t>
      </w:r>
    </w:p>
    <w:p>
      <w:pPr>
        <w:spacing w:before="156" w:beforeLines="50" w:after="156" w:afterLines="50" w:line="420" w:lineRule="exact"/>
        <w:jc w:val="center"/>
        <w:rPr>
          <w:rFonts w:ascii="黑体" w:eastAsia="黑体"/>
          <w:sz w:val="28"/>
          <w:szCs w:val="28"/>
        </w:rPr>
      </w:pPr>
      <w:r>
        <w:rPr>
          <w:rFonts w:hint="eastAsia" w:ascii="黑体" w:eastAsia="黑体"/>
          <w:sz w:val="28"/>
          <w:szCs w:val="28"/>
        </w:rPr>
        <w:t>电子响应文件编制及报送要求</w:t>
      </w:r>
    </w:p>
    <w:p>
      <w:pPr>
        <w:pStyle w:val="107"/>
        <w:spacing w:line="360" w:lineRule="auto"/>
      </w:pPr>
      <w:r>
        <w:rPr>
          <w:rFonts w:hint="eastAsia"/>
        </w:rPr>
        <w:t>1、电子响应文件的制作必须使用《云南省政府采购投标文件编制系统》，生成电子签名的响应文件，格式为*.ZCTBJ（此文件必须网上递交，单独刻录光盘密封，提交到响应文件递交现场）。如果响应文件要求提供电子效果图纸文件/电子视频演示文件，也必须使用《云南省政府采购投标文件编制系统》制作生成电子签名的效果图纸文件（格式为*.ZCTBT）/视频演示文件（格式为*.ZCTBY），这两个文件无须网上递交上传，需单独刻录一张光盘密封，密封袋上应写明“XXX单位电子签名的效果图纸和视频演示文件”，并提交到纸质响应文件递交现场，在现场由工作人员现场开启光盘并导入开标系统。</w:t>
      </w:r>
    </w:p>
    <w:p>
      <w:pPr>
        <w:pStyle w:val="107"/>
        <w:spacing w:line="360" w:lineRule="auto"/>
      </w:pPr>
      <w:r>
        <w:rPr>
          <w:rFonts w:hint="eastAsia"/>
        </w:rPr>
        <w:t>光盘刻录时，请使用正规刻录软件进行刻录CD或DVD光盘，不要对电子响应文件进行压缩，光盘刻录完成后，应检验光盘刻录的质量，检验光盘时不要在本机的刻录光驱上进行，将刻录好的光盘用另外一台电脑的“只读光驱”进行读取测试。测试的方法：将刻录光盘上的响应文件数据拷贝到电脑硬盘上，检查拷贝是否成功，同时使用《云南省政府采购投标文件编制系统》或查看工具中的【查看标书】功能对刻录后光盘中的电子响应文件进行查看。</w:t>
      </w:r>
    </w:p>
    <w:p>
      <w:pPr>
        <w:pStyle w:val="107"/>
        <w:spacing w:line="360" w:lineRule="auto"/>
      </w:pPr>
      <w:r>
        <w:rPr>
          <w:rFonts w:hint="eastAsia"/>
        </w:rPr>
        <w:t>2、《云南省政府采购投标文件编制系统》提供数字证书（CA）对电子响应文件进行加密功能。供应商对网上递交的电子响应文件应加密，现场光盘递交的电子响应文件，由供应商自行选择是否对电子响应文件进行数字证书（CA）加密。如果供应商使用某个数字证书（CA）对电子响应文件进行了数字证书（CA）加密，需要在开标会上使用该数字证书（CA）进行现场解密，才能读取或导入响应文件。</w:t>
      </w:r>
    </w:p>
    <w:p>
      <w:pPr>
        <w:pStyle w:val="107"/>
        <w:spacing w:line="360" w:lineRule="auto"/>
      </w:pPr>
      <w:r>
        <w:rPr>
          <w:rFonts w:hint="eastAsia"/>
        </w:rPr>
        <w:t>3、网上递交电子响应文件应根据磋商文件要求，在磋商文件递交截止时间前将电子响应文件通过“</w:t>
      </w:r>
      <w:r>
        <w:rPr>
          <w:rFonts w:ascii="Arial" w:hAnsi="Arial" w:cs="Arial"/>
        </w:rPr>
        <w:t>云南省政府采购交易平台（网址：http://https://www.ynggzy.com/zfcg-tb）</w:t>
      </w:r>
      <w:r>
        <w:rPr>
          <w:rFonts w:hint="eastAsia"/>
        </w:rPr>
        <w:t>”网上上传指定的采购项目，同时可以打印“上传投标文件回执”，表明上传成功。</w:t>
      </w:r>
    </w:p>
    <w:p>
      <w:pPr>
        <w:spacing w:line="360" w:lineRule="auto"/>
        <w:ind w:firstLine="420" w:firstLineChars="200"/>
        <w:rPr>
          <w:rFonts w:ascii="宋体" w:hAnsi="宋体"/>
          <w:szCs w:val="28"/>
        </w:rPr>
      </w:pPr>
      <w:r>
        <w:rPr>
          <w:rFonts w:ascii="宋体" w:hAnsi="宋体" w:cs="宋体"/>
          <w:bCs/>
          <w:kern w:val="0"/>
          <w:szCs w:val="21"/>
        </w:rPr>
        <w:t>（</w:t>
      </w:r>
      <w:r>
        <w:rPr>
          <w:rFonts w:hint="eastAsia" w:ascii="宋体" w:hAnsi="宋体" w:cs="宋体"/>
          <w:bCs/>
          <w:kern w:val="0"/>
          <w:szCs w:val="21"/>
        </w:rPr>
        <w:t>1</w:t>
      </w:r>
      <w:r>
        <w:rPr>
          <w:rFonts w:ascii="宋体" w:hAnsi="宋体" w:cs="宋体"/>
          <w:bCs/>
          <w:kern w:val="0"/>
          <w:szCs w:val="21"/>
        </w:rPr>
        <w:t>）</w:t>
      </w:r>
      <w:r>
        <w:rPr>
          <w:rFonts w:hint="eastAsia" w:ascii="宋体" w:hAnsi="宋体"/>
          <w:szCs w:val="28"/>
        </w:rPr>
        <w:t>网上递交的电子</w:t>
      </w:r>
      <w:r>
        <w:rPr>
          <w:rFonts w:hint="eastAsia"/>
        </w:rPr>
        <w:t>响应</w:t>
      </w:r>
      <w:r>
        <w:rPr>
          <w:rFonts w:hint="eastAsia" w:ascii="宋体" w:hAnsi="宋体"/>
          <w:szCs w:val="28"/>
        </w:rPr>
        <w:t>文件须对文件进行加密。现场递交的电子光盘，须将刻录好的电子</w:t>
      </w:r>
      <w:r>
        <w:rPr>
          <w:rFonts w:hint="eastAsia"/>
        </w:rPr>
        <w:t>响应</w:t>
      </w:r>
      <w:r>
        <w:rPr>
          <w:rFonts w:hint="eastAsia" w:ascii="宋体" w:hAnsi="宋体"/>
          <w:szCs w:val="28"/>
        </w:rPr>
        <w:t>文件光盘密封在密封袋中，在封口处加盖供应商单位鲜章。光盘盘面禁止粘贴标签，应使用记号笔在盘面上标注单位名称。</w:t>
      </w:r>
    </w:p>
    <w:p>
      <w:pPr>
        <w:pStyle w:val="107"/>
        <w:spacing w:line="360" w:lineRule="auto"/>
        <w:rPr>
          <w:szCs w:val="28"/>
        </w:rPr>
      </w:pPr>
      <w:r>
        <w:rPr>
          <w:rFonts w:hint="eastAsia"/>
        </w:rPr>
        <w:t>4、现场光盘递交电子响应文件密封方式：</w:t>
      </w:r>
      <w:r>
        <w:rPr>
          <w:rFonts w:hint="eastAsia"/>
          <w:szCs w:val="28"/>
        </w:rPr>
        <w:t>须将刻录好的电子</w:t>
      </w:r>
      <w:r>
        <w:rPr>
          <w:rFonts w:hint="eastAsia"/>
        </w:rPr>
        <w:t>响应</w:t>
      </w:r>
      <w:r>
        <w:rPr>
          <w:rFonts w:hint="eastAsia"/>
          <w:szCs w:val="28"/>
        </w:rPr>
        <w:t>文件光盘密封在密封袋中，在封口处加盖供应商单位鲜章。光盘盘面禁止粘贴标签，应使用记号笔在盘面上标注单位名称。</w:t>
      </w:r>
    </w:p>
    <w:p>
      <w:pPr>
        <w:pStyle w:val="107"/>
        <w:spacing w:line="360" w:lineRule="auto"/>
      </w:pPr>
      <w:r>
        <w:rPr>
          <w:rFonts w:hint="eastAsia"/>
        </w:rPr>
        <w:t>5、供应商参加磋商时，须按本附件 “电子响应文件编制及报送要求”规定编制及网上递交电子响应文件，按规定到指定现场递交电子响应文件（光盘），如果供应商没有按规定网上递交电子响应文件，视为未提交。</w:t>
      </w:r>
      <w:r>
        <w:rPr>
          <w:rFonts w:hint="eastAsia"/>
          <w:szCs w:val="28"/>
        </w:rPr>
        <w:t>供应商应确保电子</w:t>
      </w:r>
      <w:r>
        <w:rPr>
          <w:rFonts w:hint="eastAsia"/>
        </w:rPr>
        <w:t>响应</w:t>
      </w:r>
      <w:r>
        <w:rPr>
          <w:rFonts w:hint="eastAsia"/>
          <w:szCs w:val="28"/>
        </w:rPr>
        <w:t>文件（光盘）与网上上传的电子</w:t>
      </w:r>
      <w:r>
        <w:rPr>
          <w:rFonts w:hint="eastAsia"/>
        </w:rPr>
        <w:t>响应</w:t>
      </w:r>
      <w:r>
        <w:rPr>
          <w:rFonts w:hint="eastAsia"/>
          <w:szCs w:val="28"/>
        </w:rPr>
        <w:t>文件一致，若出现不一致，以网上上传的电子</w:t>
      </w:r>
      <w:r>
        <w:rPr>
          <w:rFonts w:hint="eastAsia"/>
        </w:rPr>
        <w:t>响应</w:t>
      </w:r>
      <w:r>
        <w:rPr>
          <w:rFonts w:hint="eastAsia"/>
          <w:szCs w:val="28"/>
        </w:rPr>
        <w:t>文件为准。</w:t>
      </w:r>
    </w:p>
    <w:p>
      <w:pPr>
        <w:pStyle w:val="107"/>
        <w:spacing w:line="360" w:lineRule="auto"/>
      </w:pPr>
      <w:r>
        <w:rPr>
          <w:rFonts w:hint="eastAsia"/>
        </w:rPr>
        <w:t>6、在编制技术标响应文件时，粘贴图片使用JPG格式的文件，并且每张图片的分辩率应小于100dpi，最终的电子响应文件所占用的磁盘空间必须小于100M。</w:t>
      </w:r>
    </w:p>
    <w:p>
      <w:pPr>
        <w:spacing w:line="360" w:lineRule="auto"/>
        <w:jc w:val="center"/>
        <w:rPr>
          <w:rFonts w:ascii="宋体" w:hAnsi="宋体" w:cs="宋体"/>
          <w:kern w:val="0"/>
          <w:szCs w:val="21"/>
        </w:rPr>
      </w:pPr>
      <w:r>
        <w:rPr>
          <w:rFonts w:hint="eastAsia" w:ascii="宋体" w:hAnsi="宋体" w:cs="宋体"/>
          <w:kern w:val="0"/>
          <w:szCs w:val="21"/>
        </w:rPr>
        <w:t xml:space="preserve">   注：不同单位的</w:t>
      </w:r>
      <w:r>
        <w:rPr>
          <w:rFonts w:hint="eastAsia"/>
        </w:rPr>
        <w:t>响应</w:t>
      </w:r>
      <w:r>
        <w:rPr>
          <w:rFonts w:hint="eastAsia" w:ascii="宋体" w:hAnsi="宋体" w:cs="宋体"/>
          <w:kern w:val="0"/>
          <w:szCs w:val="21"/>
        </w:rPr>
        <w:t>文件若芯片序列号、硬盘序列号、网卡序列号一致，视为由同一台电脑编制。</w:t>
      </w:r>
    </w:p>
    <w:p>
      <w:pPr>
        <w:pStyle w:val="3"/>
        <w:numPr>
          <w:ilvl w:val="0"/>
          <w:numId w:val="0"/>
        </w:numPr>
        <w:jc w:val="center"/>
        <w:rPr>
          <w:rFonts w:ascii="宋体" w:hAnsi="宋体" w:eastAsia="宋体"/>
          <w:color w:val="auto"/>
          <w:sz w:val="32"/>
          <w:szCs w:val="32"/>
        </w:rPr>
      </w:pPr>
      <w:r>
        <w:rPr>
          <w:rFonts w:hint="eastAsia" w:ascii="宋体" w:eastAsia="宋体"/>
          <w:color w:val="auto"/>
        </w:rPr>
        <w:br w:type="page"/>
      </w:r>
      <w:bookmarkStart w:id="249" w:name="_Toc27992"/>
      <w:r>
        <w:rPr>
          <w:rFonts w:ascii="宋体" w:hAnsi="宋体" w:eastAsia="宋体"/>
          <w:color w:val="auto"/>
          <w:sz w:val="32"/>
        </w:rPr>
        <w:t>第</w:t>
      </w:r>
      <w:bookmarkStart w:id="250" w:name="_Toc86124078"/>
      <w:bookmarkStart w:id="251" w:name="_Toc884"/>
      <w:bookmarkStart w:id="252" w:name="_Toc337822247"/>
      <w:bookmarkStart w:id="253" w:name="_Toc28390"/>
      <w:r>
        <w:rPr>
          <w:rFonts w:ascii="宋体" w:hAnsi="宋体" w:eastAsia="宋体"/>
          <w:color w:val="auto"/>
          <w:sz w:val="32"/>
        </w:rPr>
        <w:t>三章  合同书样式及主要条款</w:t>
      </w:r>
      <w:bookmarkEnd w:id="249"/>
    </w:p>
    <w:bookmarkEnd w:id="250"/>
    <w:bookmarkEnd w:id="251"/>
    <w:bookmarkEnd w:id="252"/>
    <w:bookmarkEnd w:id="253"/>
    <w:p>
      <w:pPr>
        <w:pStyle w:val="4"/>
        <w:numPr>
          <w:ilvl w:val="0"/>
          <w:numId w:val="0"/>
        </w:numPr>
        <w:spacing w:before="0"/>
        <w:ind w:left="425"/>
        <w:jc w:val="both"/>
        <w:rPr>
          <w:rFonts w:ascii="宋体" w:hAnsi="宋体"/>
          <w:szCs w:val="28"/>
        </w:rPr>
      </w:pPr>
      <w:bookmarkStart w:id="254" w:name="_Toc9453"/>
      <w:r>
        <w:rPr>
          <w:rFonts w:ascii="宋体" w:hAnsi="宋体"/>
          <w:szCs w:val="28"/>
        </w:rPr>
        <w:t>合</w:t>
      </w:r>
      <w:bookmarkStart w:id="255" w:name="_Toc24903"/>
      <w:bookmarkStart w:id="256" w:name="_Toc337822248"/>
      <w:bookmarkStart w:id="257" w:name="_Toc86124079"/>
      <w:bookmarkStart w:id="258" w:name="_Toc27449"/>
      <w:r>
        <w:rPr>
          <w:rFonts w:ascii="宋体" w:hAnsi="宋体"/>
          <w:szCs w:val="28"/>
        </w:rPr>
        <w:t>同条款前附表</w:t>
      </w:r>
      <w:bookmarkEnd w:id="254"/>
    </w:p>
    <w:bookmarkEnd w:id="255"/>
    <w:bookmarkEnd w:id="256"/>
    <w:bookmarkEnd w:id="257"/>
    <w:bookmarkEnd w:id="258"/>
    <w:tbl>
      <w:tblPr>
        <w:tblStyle w:val="3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8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vAlign w:val="center"/>
          </w:tcPr>
          <w:p>
            <w:pPr>
              <w:pStyle w:val="15"/>
              <w:spacing w:line="360" w:lineRule="auto"/>
              <w:jc w:val="center"/>
              <w:rPr>
                <w:rFonts w:hAnsi="宋体"/>
                <w:bCs/>
                <w:sz w:val="21"/>
                <w:szCs w:val="21"/>
              </w:rPr>
            </w:pPr>
            <w:r>
              <w:rPr>
                <w:rFonts w:hAnsi="宋体"/>
                <w:bCs/>
                <w:sz w:val="21"/>
                <w:szCs w:val="21"/>
              </w:rPr>
              <w:t>序号</w:t>
            </w:r>
          </w:p>
        </w:tc>
        <w:tc>
          <w:tcPr>
            <w:tcW w:w="8078" w:type="dxa"/>
            <w:vAlign w:val="center"/>
          </w:tcPr>
          <w:p>
            <w:pPr>
              <w:pStyle w:val="15"/>
              <w:spacing w:line="360" w:lineRule="auto"/>
              <w:ind w:firstLine="2" w:firstLineChars="1"/>
              <w:jc w:val="center"/>
              <w:rPr>
                <w:rFonts w:hAnsi="宋体"/>
                <w:bCs/>
                <w:sz w:val="21"/>
                <w:szCs w:val="21"/>
              </w:rPr>
            </w:pPr>
            <w:r>
              <w:rPr>
                <w:rFonts w:hAnsi="宋体"/>
                <w:bCs/>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863" w:type="dxa"/>
            <w:vAlign w:val="center"/>
          </w:tcPr>
          <w:p>
            <w:pPr>
              <w:pStyle w:val="15"/>
              <w:spacing w:line="360" w:lineRule="auto"/>
              <w:jc w:val="center"/>
              <w:rPr>
                <w:rFonts w:hAnsi="宋体"/>
                <w:bCs/>
                <w:sz w:val="21"/>
                <w:szCs w:val="21"/>
              </w:rPr>
            </w:pPr>
            <w:r>
              <w:rPr>
                <w:rFonts w:hAnsi="宋体"/>
                <w:bCs/>
                <w:sz w:val="21"/>
                <w:szCs w:val="21"/>
              </w:rPr>
              <w:t>1</w:t>
            </w:r>
          </w:p>
        </w:tc>
        <w:tc>
          <w:tcPr>
            <w:tcW w:w="8078" w:type="dxa"/>
            <w:vAlign w:val="center"/>
          </w:tcPr>
          <w:p>
            <w:pPr>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服务期限：</w:t>
            </w:r>
            <w:r>
              <w:rPr>
                <w:rFonts w:hint="eastAsia" w:asciiTheme="minorEastAsia" w:hAnsiTheme="minorEastAsia" w:eastAsiaTheme="minorEastAsia" w:cstheme="minorEastAsia"/>
                <w:bCs/>
                <w:szCs w:val="21"/>
              </w:rPr>
              <w:t>壹年（合同签订生效之日至次年同日止）</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服务地点：</w:t>
            </w:r>
            <w:r>
              <w:rPr>
                <w:rFonts w:hint="eastAsia" w:asciiTheme="minorEastAsia" w:hAnsiTheme="minorEastAsia" w:eastAsiaTheme="minorEastAsia" w:cstheme="minorEastAsia"/>
                <w:bCs/>
                <w:szCs w:val="21"/>
              </w:rPr>
              <w:t>云南农业职业技术学院茭菱校区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3" w:type="dxa"/>
            <w:vAlign w:val="center"/>
          </w:tcPr>
          <w:p>
            <w:pPr>
              <w:pStyle w:val="15"/>
              <w:spacing w:line="360" w:lineRule="auto"/>
              <w:jc w:val="center"/>
              <w:rPr>
                <w:rFonts w:hAnsi="宋体"/>
                <w:bCs/>
                <w:sz w:val="21"/>
                <w:szCs w:val="21"/>
              </w:rPr>
            </w:pPr>
            <w:r>
              <w:rPr>
                <w:rFonts w:hAnsi="宋体"/>
                <w:bCs/>
                <w:sz w:val="21"/>
                <w:szCs w:val="21"/>
              </w:rPr>
              <w:t>2</w:t>
            </w:r>
          </w:p>
        </w:tc>
        <w:tc>
          <w:tcPr>
            <w:tcW w:w="8078" w:type="dxa"/>
            <w:vAlign w:val="center"/>
          </w:tcPr>
          <w:p>
            <w:pPr>
              <w:spacing w:line="28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付款方式：</w:t>
            </w:r>
            <w:r>
              <w:rPr>
                <w:rFonts w:hint="eastAsia" w:asciiTheme="minorEastAsia" w:hAnsiTheme="minorEastAsia" w:eastAsiaTheme="minorEastAsia" w:cstheme="minorEastAsia"/>
                <w:bCs/>
                <w:szCs w:val="21"/>
              </w:rPr>
              <w:t>乙方应在合同签订后5个工作日内,向甲方提交合同价5%的履约保证金。若乙方没有违约行为,履约保证金在合同有效期满后10个工作日内由甲方无息退还。服务费按(季度)支付，于每季度最后5日前办理支付手续；服务费分4次支付，每季度支付合同总价的25%。</w:t>
            </w:r>
          </w:p>
          <w:p>
            <w:pPr>
              <w:spacing w:line="360" w:lineRule="auto"/>
              <w:rPr>
                <w:rFonts w:asciiTheme="minorEastAsia" w:hAnsiTheme="minorEastAsia" w:eastAsiaTheme="minorEastAsia" w:cstheme="minorEastAsia"/>
                <w:szCs w:val="21"/>
              </w:rPr>
            </w:pPr>
          </w:p>
        </w:tc>
      </w:tr>
    </w:tbl>
    <w:p>
      <w:pPr>
        <w:spacing w:line="360" w:lineRule="auto"/>
        <w:rPr>
          <w:rFonts w:ascii="宋体" w:hAnsi="宋体"/>
          <w:b/>
          <w:bCs/>
        </w:rPr>
      </w:pPr>
    </w:p>
    <w:p>
      <w:pPr>
        <w:spacing w:line="360" w:lineRule="auto"/>
        <w:ind w:firstLine="480" w:firstLineChars="200"/>
        <w:rPr>
          <w:rFonts w:ascii="宋体" w:hAnsi="宋体"/>
          <w:b/>
          <w:sz w:val="24"/>
        </w:rPr>
      </w:pPr>
      <w:r>
        <w:rPr>
          <w:rFonts w:ascii="宋体" w:hAnsi="宋体"/>
          <w:b/>
          <w:sz w:val="24"/>
        </w:rPr>
        <w:t>说明：合同格式以成交</w:t>
      </w:r>
      <w:r>
        <w:rPr>
          <w:rFonts w:hint="eastAsia" w:ascii="宋体" w:hAnsi="宋体"/>
          <w:b/>
          <w:sz w:val="24"/>
        </w:rPr>
        <w:t>供应商</w:t>
      </w:r>
      <w:r>
        <w:rPr>
          <w:rFonts w:ascii="宋体" w:hAnsi="宋体"/>
          <w:b/>
          <w:sz w:val="24"/>
        </w:rPr>
        <w:t>凭《成交通知书》到</w:t>
      </w:r>
      <w:r>
        <w:rPr>
          <w:rFonts w:hint="eastAsia" w:ascii="宋体" w:hAnsi="宋体"/>
          <w:b/>
          <w:sz w:val="24"/>
        </w:rPr>
        <w:t>云南省政府采购和出让中心</w:t>
      </w:r>
      <w:r>
        <w:rPr>
          <w:rFonts w:ascii="宋体" w:hAnsi="宋体"/>
          <w:b/>
          <w:sz w:val="24"/>
        </w:rPr>
        <w:t>领取的合同格式为准</w:t>
      </w:r>
      <w:r>
        <w:rPr>
          <w:rFonts w:hint="eastAsia" w:ascii="宋体" w:hAnsi="宋体"/>
          <w:b/>
          <w:sz w:val="24"/>
        </w:rPr>
        <w:t>，</w:t>
      </w:r>
      <w:r>
        <w:rPr>
          <w:rFonts w:hint="eastAsia"/>
          <w:b/>
          <w:sz w:val="24"/>
        </w:rPr>
        <w:t>且不得再做修改和变动。</w:t>
      </w:r>
    </w:p>
    <w:p>
      <w:pPr>
        <w:spacing w:line="360" w:lineRule="auto"/>
        <w:ind w:firstLine="480" w:firstLineChars="200"/>
        <w:rPr>
          <w:rFonts w:ascii="宋体" w:hAnsi="宋体"/>
          <w:b/>
          <w:sz w:val="24"/>
        </w:rPr>
      </w:pPr>
    </w:p>
    <w:p>
      <w:pPr>
        <w:spacing w:line="360" w:lineRule="auto"/>
        <w:ind w:firstLine="480" w:firstLineChars="200"/>
        <w:rPr>
          <w:rFonts w:ascii="宋体" w:hAnsi="宋体"/>
          <w:b/>
          <w:sz w:val="24"/>
        </w:rPr>
      </w:pPr>
    </w:p>
    <w:p>
      <w:pPr>
        <w:spacing w:line="360" w:lineRule="auto"/>
        <w:ind w:firstLine="480" w:firstLineChars="200"/>
        <w:rPr>
          <w:rFonts w:ascii="宋体" w:hAnsi="宋体"/>
          <w:b/>
          <w:sz w:val="24"/>
        </w:rPr>
      </w:pPr>
    </w:p>
    <w:p>
      <w:pPr>
        <w:spacing w:line="360" w:lineRule="auto"/>
        <w:ind w:firstLine="480" w:firstLineChars="200"/>
        <w:rPr>
          <w:rFonts w:ascii="宋体" w:hAnsi="宋体"/>
          <w:b/>
          <w:sz w:val="24"/>
        </w:rPr>
      </w:pPr>
    </w:p>
    <w:p>
      <w:pPr>
        <w:pStyle w:val="4"/>
        <w:numPr>
          <w:ilvl w:val="0"/>
          <w:numId w:val="0"/>
        </w:numPr>
        <w:spacing w:before="0"/>
        <w:ind w:left="1021"/>
        <w:rPr>
          <w:rFonts w:ascii="Times New Roman" w:hAnsi="Times New Roman"/>
          <w:color w:val="000000"/>
          <w:szCs w:val="28"/>
        </w:rPr>
      </w:pPr>
      <w:bookmarkStart w:id="259" w:name="_Toc24615"/>
      <w:r>
        <w:rPr>
          <w:rFonts w:ascii="Times New Roman" w:hAnsi="Times New Roman"/>
          <w:color w:val="000000"/>
          <w:szCs w:val="28"/>
        </w:rPr>
        <w:t>云</w:t>
      </w:r>
      <w:bookmarkStart w:id="260" w:name="_Toc19707"/>
      <w:bookmarkStart w:id="261" w:name="_Toc86124080"/>
      <w:bookmarkStart w:id="262" w:name="_Toc9835"/>
      <w:bookmarkStart w:id="263" w:name="_Toc444606620"/>
      <w:r>
        <w:rPr>
          <w:rFonts w:ascii="Times New Roman" w:hAnsi="Times New Roman"/>
          <w:color w:val="000000"/>
          <w:szCs w:val="28"/>
        </w:rPr>
        <w:t>南省省级政府集中采购（</w:t>
      </w:r>
      <w:r>
        <w:rPr>
          <w:rFonts w:hint="eastAsia" w:ascii="Times New Roman" w:hAnsi="Times New Roman"/>
          <w:color w:val="000000"/>
          <w:szCs w:val="28"/>
        </w:rPr>
        <w:t>服务类</w:t>
      </w:r>
      <w:r>
        <w:rPr>
          <w:rFonts w:ascii="Times New Roman" w:hAnsi="Times New Roman"/>
          <w:color w:val="000000"/>
          <w:szCs w:val="28"/>
        </w:rPr>
        <w:t>）合同书（格式）</w:t>
      </w:r>
      <w:bookmarkEnd w:id="259"/>
    </w:p>
    <w:bookmarkEnd w:id="260"/>
    <w:bookmarkEnd w:id="261"/>
    <w:bookmarkEnd w:id="262"/>
    <w:bookmarkEnd w:id="263"/>
    <w:p>
      <w:pPr>
        <w:autoSpaceDE w:val="0"/>
        <w:autoSpaceDN w:val="0"/>
        <w:adjustRightInd w:val="0"/>
        <w:spacing w:line="300" w:lineRule="auto"/>
        <w:ind w:right="-72"/>
        <w:rPr>
          <w:rFonts w:ascii="仿宋" w:hAnsi="仿宋" w:eastAsia="仿宋" w:cs="仿宋"/>
          <w:kern w:val="0"/>
          <w:sz w:val="32"/>
          <w:szCs w:val="32"/>
        </w:rPr>
      </w:pPr>
      <w:r>
        <w:rPr>
          <w:color w:val="000000"/>
          <w:sz w:val="36"/>
        </w:rPr>
        <w:br w:type="page"/>
      </w:r>
      <w:r>
        <w:rPr>
          <w:rFonts w:hint="eastAsia" w:ascii="仿宋" w:hAnsi="仿宋" w:eastAsia="仿宋" w:cs="仿宋"/>
          <w:kern w:val="0"/>
          <w:sz w:val="32"/>
          <w:szCs w:val="32"/>
        </w:rPr>
        <w:t>合同编号：4530000HT2021****</w:t>
      </w:r>
    </w:p>
    <w:p>
      <w:pPr>
        <w:autoSpaceDE w:val="0"/>
        <w:autoSpaceDN w:val="0"/>
        <w:adjustRightInd w:val="0"/>
        <w:spacing w:line="300" w:lineRule="auto"/>
        <w:ind w:right="-72"/>
        <w:rPr>
          <w:rFonts w:hint="default" w:ascii="仿宋" w:hAnsi="仿宋" w:eastAsia="仿宋" w:cs="仿宋"/>
          <w:b/>
          <w:kern w:val="0"/>
          <w:sz w:val="18"/>
          <w:szCs w:val="18"/>
          <w:lang w:val="en-US" w:eastAsia="zh-CN"/>
        </w:rPr>
      </w:pPr>
      <w:r>
        <w:rPr>
          <w:rFonts w:hint="eastAsia" w:ascii="仿宋" w:hAnsi="仿宋" w:eastAsia="仿宋" w:cs="仿宋"/>
          <w:kern w:val="0"/>
          <w:sz w:val="32"/>
          <w:szCs w:val="32"/>
        </w:rPr>
        <w:t>合同自编号：YC2021360</w:t>
      </w:r>
      <w:r>
        <w:rPr>
          <w:rFonts w:hint="eastAsia" w:ascii="仿宋" w:hAnsi="仿宋" w:eastAsia="仿宋" w:cs="仿宋"/>
          <w:kern w:val="0"/>
          <w:sz w:val="32"/>
          <w:szCs w:val="32"/>
          <w:lang w:val="en-US" w:eastAsia="zh-CN"/>
        </w:rPr>
        <w:t>140</w:t>
      </w:r>
      <w:r>
        <w:rPr>
          <w:rFonts w:hint="eastAsia" w:ascii="仿宋" w:hAnsi="仿宋" w:eastAsia="仿宋" w:cs="仿宋"/>
          <w:kern w:val="0"/>
          <w:sz w:val="32"/>
          <w:szCs w:val="32"/>
        </w:rPr>
        <w:t>【 】    项目编号：YC2021360</w:t>
      </w:r>
      <w:r>
        <w:rPr>
          <w:rFonts w:hint="eastAsia" w:ascii="仿宋" w:hAnsi="仿宋" w:eastAsia="仿宋" w:cs="仿宋"/>
          <w:kern w:val="0"/>
          <w:sz w:val="32"/>
          <w:szCs w:val="32"/>
          <w:lang w:val="en-US" w:eastAsia="zh-CN"/>
        </w:rPr>
        <w:t>140</w:t>
      </w:r>
    </w:p>
    <w:p>
      <w:pPr>
        <w:autoSpaceDE w:val="0"/>
        <w:autoSpaceDN w:val="0"/>
        <w:adjustRightInd w:val="0"/>
        <w:spacing w:line="300" w:lineRule="auto"/>
        <w:ind w:right="568"/>
        <w:rPr>
          <w:rFonts w:ascii="仿宋" w:hAnsi="仿宋" w:eastAsia="仿宋" w:cs="仿宋"/>
          <w:kern w:val="0"/>
          <w:sz w:val="32"/>
          <w:szCs w:val="32"/>
        </w:rPr>
      </w:pPr>
      <w:r>
        <w:rPr>
          <w:rFonts w:hint="eastAsia" w:ascii="仿宋" w:hAnsi="仿宋" w:eastAsia="仿宋" w:cs="仿宋"/>
          <w:kern w:val="0"/>
          <w:sz w:val="32"/>
          <w:szCs w:val="32"/>
        </w:rPr>
        <w:t>●本合同须加盖甲乙双方骑缝章有效</w:t>
      </w:r>
    </w:p>
    <w:p>
      <w:pPr>
        <w:autoSpaceDE w:val="0"/>
        <w:autoSpaceDN w:val="0"/>
        <w:adjustRightInd w:val="0"/>
        <w:spacing w:line="300" w:lineRule="auto"/>
        <w:jc w:val="center"/>
        <w:rPr>
          <w:rFonts w:ascii="仿宋" w:hAnsi="仿宋" w:eastAsia="仿宋" w:cs="仿宋"/>
          <w:kern w:val="0"/>
          <w:sz w:val="18"/>
          <w:szCs w:val="18"/>
        </w:rPr>
      </w:pPr>
    </w:p>
    <w:p>
      <w:pPr>
        <w:autoSpaceDE w:val="0"/>
        <w:autoSpaceDN w:val="0"/>
        <w:adjustRightInd w:val="0"/>
        <w:spacing w:line="300" w:lineRule="auto"/>
        <w:jc w:val="center"/>
        <w:rPr>
          <w:rFonts w:ascii="仿宋" w:hAnsi="仿宋" w:eastAsia="仿宋" w:cs="仿宋"/>
          <w:kern w:val="0"/>
          <w:sz w:val="18"/>
          <w:szCs w:val="18"/>
        </w:rPr>
      </w:pPr>
    </w:p>
    <w:p>
      <w:pPr>
        <w:autoSpaceDE w:val="0"/>
        <w:autoSpaceDN w:val="0"/>
        <w:adjustRightInd w:val="0"/>
        <w:spacing w:line="300" w:lineRule="auto"/>
        <w:jc w:val="center"/>
        <w:rPr>
          <w:rFonts w:ascii="仿宋" w:hAnsi="仿宋" w:eastAsia="仿宋" w:cs="仿宋"/>
          <w:kern w:val="0"/>
          <w:sz w:val="18"/>
          <w:szCs w:val="18"/>
        </w:rPr>
      </w:pPr>
    </w:p>
    <w:p>
      <w:pPr>
        <w:autoSpaceDE w:val="0"/>
        <w:autoSpaceDN w:val="0"/>
        <w:adjustRightInd w:val="0"/>
        <w:spacing w:line="300" w:lineRule="auto"/>
        <w:jc w:val="center"/>
        <w:rPr>
          <w:rFonts w:ascii="仿宋" w:hAnsi="仿宋" w:eastAsia="仿宋" w:cs="仿宋"/>
          <w:kern w:val="0"/>
          <w:sz w:val="52"/>
          <w:szCs w:val="52"/>
        </w:rPr>
      </w:pPr>
      <w:r>
        <w:rPr>
          <w:rFonts w:hint="eastAsia" w:ascii="仿宋" w:hAnsi="仿宋" w:eastAsia="仿宋" w:cs="仿宋"/>
          <w:b/>
          <w:bCs/>
          <w:kern w:val="0"/>
          <w:sz w:val="52"/>
          <w:szCs w:val="52"/>
        </w:rPr>
        <w:t>云南省省级政府集中采购</w:t>
      </w:r>
    </w:p>
    <w:p>
      <w:pPr>
        <w:autoSpaceDE w:val="0"/>
        <w:autoSpaceDN w:val="0"/>
        <w:adjustRightInd w:val="0"/>
        <w:spacing w:line="300" w:lineRule="auto"/>
        <w:ind w:right="568"/>
        <w:jc w:val="center"/>
        <w:rPr>
          <w:rFonts w:ascii="仿宋" w:hAnsi="仿宋" w:eastAsia="仿宋" w:cs="仿宋"/>
          <w:kern w:val="0"/>
          <w:sz w:val="32"/>
          <w:szCs w:val="32"/>
        </w:rPr>
      </w:pPr>
      <w:r>
        <w:rPr>
          <w:rFonts w:hint="eastAsia" w:ascii="仿宋" w:hAnsi="仿宋" w:eastAsia="仿宋" w:cs="仿宋"/>
          <w:kern w:val="0"/>
          <w:sz w:val="32"/>
          <w:szCs w:val="32"/>
        </w:rPr>
        <w:t xml:space="preserve">    (委托采购)</w:t>
      </w:r>
    </w:p>
    <w:p>
      <w:pPr>
        <w:autoSpaceDE w:val="0"/>
        <w:autoSpaceDN w:val="0"/>
        <w:adjustRightInd w:val="0"/>
        <w:spacing w:line="300" w:lineRule="auto"/>
        <w:jc w:val="center"/>
        <w:rPr>
          <w:rFonts w:ascii="仿宋" w:hAnsi="仿宋" w:eastAsia="仿宋" w:cs="仿宋"/>
          <w:b/>
          <w:kern w:val="0"/>
          <w:sz w:val="44"/>
          <w:szCs w:val="44"/>
        </w:rPr>
      </w:pPr>
      <w:r>
        <w:rPr>
          <w:rFonts w:hint="eastAsia" w:ascii="仿宋" w:hAnsi="仿宋" w:eastAsia="仿宋" w:cs="仿宋"/>
          <w:b/>
          <w:kern w:val="0"/>
          <w:sz w:val="44"/>
          <w:szCs w:val="44"/>
        </w:rPr>
        <w:t>服  务　类</w:t>
      </w:r>
    </w:p>
    <w:p>
      <w:pPr>
        <w:autoSpaceDE w:val="0"/>
        <w:autoSpaceDN w:val="0"/>
        <w:adjustRightInd w:val="0"/>
        <w:spacing w:line="300" w:lineRule="auto"/>
        <w:jc w:val="center"/>
        <w:rPr>
          <w:rFonts w:ascii="仿宋" w:hAnsi="仿宋" w:eastAsia="仿宋" w:cs="仿宋"/>
          <w:kern w:val="0"/>
          <w:sz w:val="18"/>
          <w:szCs w:val="18"/>
        </w:rPr>
      </w:pPr>
    </w:p>
    <w:p>
      <w:pPr>
        <w:autoSpaceDE w:val="0"/>
        <w:autoSpaceDN w:val="0"/>
        <w:adjustRightInd w:val="0"/>
        <w:spacing w:line="300" w:lineRule="auto"/>
        <w:jc w:val="center"/>
        <w:rPr>
          <w:rFonts w:ascii="仿宋" w:hAnsi="仿宋" w:eastAsia="仿宋" w:cs="仿宋"/>
          <w:kern w:val="0"/>
          <w:sz w:val="18"/>
          <w:szCs w:val="18"/>
        </w:rPr>
      </w:pPr>
    </w:p>
    <w:p>
      <w:pPr>
        <w:autoSpaceDE w:val="0"/>
        <w:autoSpaceDN w:val="0"/>
        <w:adjustRightInd w:val="0"/>
        <w:spacing w:line="300" w:lineRule="auto"/>
        <w:jc w:val="center"/>
        <w:rPr>
          <w:rFonts w:ascii="仿宋" w:hAnsi="仿宋" w:eastAsia="仿宋" w:cs="仿宋"/>
          <w:kern w:val="0"/>
          <w:sz w:val="18"/>
          <w:szCs w:val="18"/>
        </w:rPr>
      </w:pPr>
    </w:p>
    <w:p>
      <w:pPr>
        <w:autoSpaceDE w:val="0"/>
        <w:autoSpaceDN w:val="0"/>
        <w:adjustRightInd w:val="0"/>
        <w:spacing w:line="300" w:lineRule="auto"/>
        <w:jc w:val="center"/>
        <w:rPr>
          <w:rFonts w:ascii="仿宋" w:hAnsi="仿宋" w:eastAsia="仿宋" w:cs="仿宋"/>
          <w:kern w:val="0"/>
          <w:sz w:val="18"/>
          <w:szCs w:val="18"/>
        </w:rPr>
      </w:pPr>
    </w:p>
    <w:p>
      <w:pPr>
        <w:autoSpaceDE w:val="0"/>
        <w:autoSpaceDN w:val="0"/>
        <w:adjustRightInd w:val="0"/>
        <w:spacing w:line="300" w:lineRule="auto"/>
        <w:jc w:val="center"/>
        <w:rPr>
          <w:rFonts w:ascii="黑体" w:hAnsi="黑体" w:eastAsia="黑体" w:cs="黑体"/>
          <w:kern w:val="0"/>
          <w:sz w:val="84"/>
          <w:szCs w:val="84"/>
        </w:rPr>
      </w:pPr>
      <w:r>
        <w:rPr>
          <w:rFonts w:hint="eastAsia" w:ascii="黑体" w:hAnsi="黑体" w:eastAsia="黑体" w:cs="黑体"/>
          <w:kern w:val="0"/>
          <w:sz w:val="84"/>
          <w:szCs w:val="84"/>
        </w:rPr>
        <w:t xml:space="preserve">合 </w:t>
      </w:r>
    </w:p>
    <w:p>
      <w:pPr>
        <w:autoSpaceDE w:val="0"/>
        <w:autoSpaceDN w:val="0"/>
        <w:adjustRightInd w:val="0"/>
        <w:spacing w:line="300" w:lineRule="auto"/>
        <w:jc w:val="center"/>
        <w:rPr>
          <w:rFonts w:ascii="黑体" w:hAnsi="黑体" w:eastAsia="黑体" w:cs="黑体"/>
          <w:kern w:val="0"/>
          <w:sz w:val="72"/>
          <w:szCs w:val="72"/>
        </w:rPr>
      </w:pPr>
      <w:r>
        <w:rPr>
          <w:rFonts w:hint="eastAsia" w:ascii="黑体" w:hAnsi="黑体" w:eastAsia="黑体" w:cs="黑体"/>
          <w:kern w:val="0"/>
          <w:sz w:val="84"/>
          <w:szCs w:val="84"/>
        </w:rPr>
        <w:t xml:space="preserve">同 </w:t>
      </w:r>
    </w:p>
    <w:p>
      <w:pPr>
        <w:autoSpaceDE w:val="0"/>
        <w:autoSpaceDN w:val="0"/>
        <w:adjustRightInd w:val="0"/>
        <w:spacing w:line="300" w:lineRule="auto"/>
        <w:jc w:val="center"/>
        <w:rPr>
          <w:rFonts w:ascii="宋体" w:hAnsi="宋体"/>
          <w:kern w:val="0"/>
          <w:sz w:val="84"/>
          <w:szCs w:val="84"/>
        </w:rPr>
      </w:pPr>
      <w:r>
        <w:rPr>
          <w:rFonts w:hint="eastAsia" w:ascii="黑体" w:hAnsi="黑体" w:eastAsia="黑体" w:cs="黑体"/>
          <w:kern w:val="0"/>
          <w:sz w:val="84"/>
          <w:szCs w:val="84"/>
        </w:rPr>
        <w:t xml:space="preserve">书 </w:t>
      </w:r>
    </w:p>
    <w:p>
      <w:pPr>
        <w:autoSpaceDE w:val="0"/>
        <w:autoSpaceDN w:val="0"/>
        <w:adjustRightInd w:val="0"/>
        <w:spacing w:line="300" w:lineRule="auto"/>
        <w:jc w:val="center"/>
        <w:rPr>
          <w:rFonts w:ascii="仿宋" w:hAnsi="仿宋" w:eastAsia="仿宋" w:cs="仿宋"/>
          <w:kern w:val="0"/>
          <w:sz w:val="18"/>
          <w:szCs w:val="18"/>
        </w:rPr>
      </w:pPr>
    </w:p>
    <w:p>
      <w:pPr>
        <w:autoSpaceDE w:val="0"/>
        <w:autoSpaceDN w:val="0"/>
        <w:adjustRightInd w:val="0"/>
        <w:spacing w:line="300" w:lineRule="auto"/>
        <w:jc w:val="center"/>
        <w:rPr>
          <w:rFonts w:ascii="仿宋" w:hAnsi="仿宋" w:eastAsia="仿宋" w:cs="仿宋"/>
          <w:kern w:val="0"/>
          <w:sz w:val="18"/>
          <w:szCs w:val="18"/>
        </w:rPr>
      </w:pPr>
    </w:p>
    <w:p>
      <w:pPr>
        <w:autoSpaceDE w:val="0"/>
        <w:autoSpaceDN w:val="0"/>
        <w:adjustRightInd w:val="0"/>
        <w:spacing w:line="300" w:lineRule="auto"/>
        <w:jc w:val="center"/>
        <w:rPr>
          <w:rFonts w:ascii="仿宋" w:hAnsi="仿宋" w:eastAsia="仿宋" w:cs="仿宋"/>
          <w:kern w:val="0"/>
          <w:sz w:val="18"/>
          <w:szCs w:val="18"/>
        </w:rPr>
      </w:pPr>
    </w:p>
    <w:p>
      <w:pPr>
        <w:autoSpaceDE w:val="0"/>
        <w:autoSpaceDN w:val="0"/>
        <w:adjustRightInd w:val="0"/>
        <w:spacing w:line="300" w:lineRule="auto"/>
        <w:jc w:val="center"/>
        <w:rPr>
          <w:rFonts w:ascii="仿宋" w:hAnsi="仿宋" w:eastAsia="仿宋" w:cs="仿宋"/>
          <w:kern w:val="0"/>
          <w:sz w:val="18"/>
          <w:szCs w:val="18"/>
        </w:rPr>
      </w:pPr>
    </w:p>
    <w:p>
      <w:pPr>
        <w:autoSpaceDE w:val="0"/>
        <w:autoSpaceDN w:val="0"/>
        <w:adjustRightInd w:val="0"/>
        <w:spacing w:line="300" w:lineRule="auto"/>
        <w:jc w:val="center"/>
        <w:rPr>
          <w:rFonts w:ascii="楷体_GB2312" w:eastAsia="楷体_GB2312"/>
          <w:b/>
          <w:kern w:val="0"/>
          <w:sz w:val="36"/>
          <w:szCs w:val="36"/>
          <w:lang w:val="zh-CN"/>
        </w:rPr>
      </w:pPr>
      <w:r>
        <w:rPr>
          <w:rFonts w:hint="eastAsia" w:ascii="楷体_GB2312" w:eastAsia="楷体_GB2312"/>
          <w:b/>
          <w:kern w:val="0"/>
          <w:sz w:val="36"/>
          <w:szCs w:val="36"/>
          <w:lang w:val="zh-CN"/>
        </w:rPr>
        <w:t>签订地点：</w:t>
      </w:r>
      <w:r>
        <w:rPr>
          <w:rFonts w:hint="eastAsia" w:ascii="楷体_GB2312" w:eastAsia="楷体_GB2312"/>
          <w:b/>
          <w:spacing w:val="40"/>
          <w:kern w:val="0"/>
          <w:sz w:val="36"/>
          <w:szCs w:val="36"/>
          <w:lang w:val="zh-CN"/>
        </w:rPr>
        <w:t>云南省昆明市</w:t>
      </w:r>
    </w:p>
    <w:p>
      <w:pPr>
        <w:autoSpaceDE w:val="0"/>
        <w:autoSpaceDN w:val="0"/>
        <w:adjustRightInd w:val="0"/>
        <w:spacing w:line="300" w:lineRule="auto"/>
        <w:jc w:val="center"/>
        <w:rPr>
          <w:rFonts w:ascii="楷体" w:hAnsi="楷体" w:eastAsia="楷体" w:cs="楷体"/>
          <w:b/>
          <w:kern w:val="0"/>
          <w:sz w:val="36"/>
          <w:szCs w:val="36"/>
          <w:lang w:val="zh-CN"/>
        </w:rPr>
      </w:pPr>
      <w:r>
        <w:rPr>
          <w:rFonts w:hint="eastAsia" w:ascii="楷体_GB2312" w:eastAsia="楷体_GB2312"/>
          <w:b/>
          <w:kern w:val="0"/>
          <w:sz w:val="36"/>
          <w:szCs w:val="36"/>
          <w:lang w:val="zh-CN"/>
        </w:rPr>
        <w:t>云南省财政厅　制</w:t>
      </w:r>
    </w:p>
    <w:p>
      <w:pPr>
        <w:rPr>
          <w:rFonts w:ascii="楷体" w:hAnsi="楷体" w:eastAsia="楷体" w:cs="楷体"/>
          <w:b/>
          <w:kern w:val="0"/>
          <w:sz w:val="36"/>
          <w:szCs w:val="36"/>
          <w:lang w:val="zh-CN"/>
        </w:rPr>
      </w:pPr>
      <w:r>
        <w:rPr>
          <w:rFonts w:hint="eastAsia" w:ascii="楷体" w:hAnsi="楷体" w:eastAsia="楷体" w:cs="楷体"/>
          <w:b/>
          <w:kern w:val="0"/>
          <w:sz w:val="36"/>
          <w:szCs w:val="36"/>
          <w:lang w:val="zh-CN"/>
        </w:rPr>
        <w:br w:type="page"/>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甲乙双方根据云南省政府采购和出让中心按照《中华人民共和国政府采购法》、《中华人民共和国政府采购法实施条例》和有关制度规定纳入省级政府集中采购、编号为</w:t>
      </w:r>
      <w:r>
        <w:rPr>
          <w:rFonts w:hint="eastAsia" w:ascii="仿宋" w:hAnsi="仿宋" w:eastAsia="仿宋" w:cs="仿宋"/>
          <w:bCs/>
          <w:color w:val="000000"/>
          <w:sz w:val="32"/>
          <w:szCs w:val="32"/>
          <w:u w:val="single"/>
        </w:rPr>
        <w:t>YC</w:t>
      </w:r>
      <w:r>
        <w:rPr>
          <w:rFonts w:ascii="仿宋" w:hAnsi="仿宋" w:eastAsia="仿宋" w:cs="仿宋"/>
          <w:bCs/>
          <w:color w:val="000000"/>
          <w:sz w:val="32"/>
          <w:szCs w:val="32"/>
          <w:u w:val="single"/>
        </w:rPr>
        <w:t>2021360</w:t>
      </w:r>
      <w:r>
        <w:rPr>
          <w:rFonts w:hint="eastAsia" w:ascii="仿宋" w:hAnsi="仿宋" w:eastAsia="仿宋" w:cs="仿宋"/>
          <w:bCs/>
          <w:color w:val="000000"/>
          <w:sz w:val="32"/>
          <w:szCs w:val="32"/>
          <w:u w:val="single"/>
          <w:lang w:val="en-US" w:eastAsia="zh-CN"/>
        </w:rPr>
        <w:t>14</w:t>
      </w:r>
      <w:r>
        <w:rPr>
          <w:rFonts w:hint="eastAsia" w:ascii="仿宋" w:hAnsi="仿宋" w:eastAsia="仿宋" w:cs="仿宋"/>
          <w:bCs/>
          <w:color w:val="000000"/>
          <w:sz w:val="32"/>
          <w:szCs w:val="32"/>
          <w:u w:val="single"/>
        </w:rPr>
        <w:t>0</w:t>
      </w:r>
      <w:r>
        <w:rPr>
          <w:rFonts w:hint="eastAsia" w:ascii="仿宋" w:hAnsi="仿宋" w:eastAsia="仿宋" w:cs="仿宋"/>
          <w:bCs/>
          <w:sz w:val="32"/>
          <w:szCs w:val="32"/>
        </w:rPr>
        <w:t>的</w:t>
      </w:r>
      <w:r>
        <w:rPr>
          <w:rFonts w:hint="eastAsia" w:ascii="仿宋" w:hAnsi="仿宋" w:eastAsia="仿宋" w:cs="仿宋"/>
          <w:bCs/>
          <w:sz w:val="32"/>
          <w:szCs w:val="32"/>
          <w:u w:val="single"/>
        </w:rPr>
        <w:t>“茭菱校区物业管理服务采购（2021）”</w:t>
      </w:r>
      <w:r>
        <w:rPr>
          <w:rFonts w:hint="eastAsia" w:ascii="仿宋" w:hAnsi="仿宋" w:eastAsia="仿宋" w:cs="仿宋"/>
          <w:bCs/>
          <w:sz w:val="32"/>
          <w:szCs w:val="32"/>
        </w:rPr>
        <w:t>竞争性磋商采购结果，经双方协定达成一致，签订以下内容：</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color w:val="000000"/>
          <w:sz w:val="32"/>
          <w:szCs w:val="32"/>
        </w:rPr>
        <w:t>项目合作或服务内容：</w:t>
      </w:r>
    </w:p>
    <w:p>
      <w:pPr>
        <w:spacing w:line="560" w:lineRule="exact"/>
        <w:ind w:firstLine="480" w:firstLineChars="200"/>
        <w:rPr>
          <w:rFonts w:ascii="仿宋" w:hAnsi="仿宋" w:eastAsia="仿宋" w:cs="仿宋"/>
          <w:sz w:val="24"/>
        </w:rPr>
      </w:pPr>
    </w:p>
    <w:p>
      <w:pPr>
        <w:spacing w:line="560" w:lineRule="exact"/>
        <w:rPr>
          <w:rFonts w:ascii="仿宋" w:hAnsi="仿宋" w:eastAsia="仿宋" w:cs="仿宋"/>
          <w:b/>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二、合同总价</w:t>
      </w:r>
    </w:p>
    <w:p>
      <w:pPr>
        <w:spacing w:line="560" w:lineRule="exact"/>
        <w:ind w:firstLine="640" w:firstLineChars="200"/>
        <w:rPr>
          <w:rFonts w:ascii="仿宋" w:hAnsi="仿宋" w:eastAsia="仿宋" w:cs="仿宋"/>
          <w:kern w:val="0"/>
          <w:sz w:val="32"/>
          <w:szCs w:val="32"/>
          <w:lang w:val="zh-CN"/>
        </w:rPr>
      </w:pPr>
      <w:r>
        <w:rPr>
          <w:rFonts w:hint="eastAsia" w:ascii="仿宋" w:hAnsi="仿宋" w:eastAsia="仿宋" w:cs="仿宋"/>
          <w:kern w:val="0"/>
          <w:sz w:val="32"/>
          <w:szCs w:val="32"/>
          <w:lang w:val="zh-CN"/>
        </w:rPr>
        <w:t>人民币小写：</w:t>
      </w:r>
    </w:p>
    <w:p>
      <w:pPr>
        <w:spacing w:line="560" w:lineRule="exact"/>
        <w:ind w:firstLine="1600" w:firstLineChars="500"/>
        <w:rPr>
          <w:rFonts w:ascii="仿宋" w:hAnsi="仿宋" w:eastAsia="仿宋" w:cs="仿宋"/>
          <w:b/>
          <w:bCs/>
          <w:sz w:val="32"/>
          <w:szCs w:val="32"/>
        </w:rPr>
      </w:pPr>
      <w:r>
        <w:rPr>
          <w:rFonts w:hint="eastAsia" w:ascii="仿宋" w:hAnsi="仿宋" w:eastAsia="仿宋" w:cs="仿宋"/>
          <w:kern w:val="0"/>
          <w:sz w:val="32"/>
          <w:szCs w:val="32"/>
          <w:lang w:val="zh-CN"/>
        </w:rPr>
        <w:t>大写：</w:t>
      </w:r>
    </w:p>
    <w:p>
      <w:pPr>
        <w:autoSpaceDE w:val="0"/>
        <w:autoSpaceDN w:val="0"/>
        <w:adjustRightInd w:val="0"/>
        <w:spacing w:line="560" w:lineRule="exact"/>
        <w:ind w:firstLine="640" w:firstLineChars="200"/>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其中：资金归属</w:t>
      </w:r>
      <w:r>
        <w:rPr>
          <w:rFonts w:hint="eastAsia" w:ascii="仿宋" w:hAnsi="仿宋" w:eastAsia="仿宋" w:cs="仿宋"/>
          <w:bCs/>
          <w:kern w:val="0"/>
          <w:sz w:val="32"/>
          <w:szCs w:val="32"/>
        </w:rPr>
        <w:t>（请在</w:t>
      </w:r>
      <w:r>
        <w:rPr>
          <w:rFonts w:hint="eastAsia" w:ascii="仿宋" w:hAnsi="仿宋" w:eastAsia="仿宋" w:cs="仿宋"/>
          <w:kern w:val="0"/>
          <w:sz w:val="32"/>
          <w:szCs w:val="32"/>
        </w:rPr>
        <w:t>□内打√，其余打×）</w:t>
      </w:r>
    </w:p>
    <w:p>
      <w:pPr>
        <w:autoSpaceDE w:val="0"/>
        <w:autoSpaceDN w:val="0"/>
        <w:adjustRightInd w:val="0"/>
        <w:spacing w:line="560" w:lineRule="exact"/>
        <w:ind w:firstLine="720" w:firstLineChars="225"/>
        <w:jc w:val="left"/>
        <w:rPr>
          <w:rFonts w:ascii="仿宋" w:hAnsi="仿宋" w:eastAsia="仿宋" w:cs="仿宋"/>
          <w:kern w:val="0"/>
          <w:sz w:val="32"/>
          <w:szCs w:val="32"/>
          <w:lang w:val="zh-CN"/>
        </w:rPr>
      </w:pPr>
      <w:r>
        <w:rPr>
          <w:rFonts w:hint="eastAsia" w:ascii="仿宋" w:hAnsi="仿宋" w:eastAsia="仿宋" w:cs="仿宋"/>
          <w:kern w:val="0"/>
          <w:sz w:val="32"/>
          <w:szCs w:val="32"/>
        </w:rPr>
        <w:t>□</w:t>
      </w:r>
      <w:r>
        <w:rPr>
          <w:rFonts w:hint="eastAsia" w:ascii="仿宋" w:hAnsi="仿宋" w:eastAsia="仿宋" w:cs="仿宋"/>
          <w:kern w:val="0"/>
          <w:sz w:val="32"/>
          <w:szCs w:val="32"/>
          <w:lang w:val="zh-CN"/>
        </w:rPr>
        <w:t>财政资金：</w:t>
      </w:r>
    </w:p>
    <w:p>
      <w:pPr>
        <w:autoSpaceDE w:val="0"/>
        <w:autoSpaceDN w:val="0"/>
        <w:adjustRightInd w:val="0"/>
        <w:spacing w:line="560" w:lineRule="exact"/>
        <w:ind w:firstLine="1680" w:firstLineChars="525"/>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小写：</w:t>
      </w:r>
    </w:p>
    <w:p>
      <w:pPr>
        <w:autoSpaceDE w:val="0"/>
        <w:autoSpaceDN w:val="0"/>
        <w:adjustRightInd w:val="0"/>
        <w:spacing w:line="560" w:lineRule="exact"/>
        <w:ind w:firstLine="1680" w:firstLineChars="525"/>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大写：</w:t>
      </w:r>
    </w:p>
    <w:p>
      <w:pPr>
        <w:numPr>
          <w:ilvl w:val="0"/>
          <w:numId w:val="9"/>
        </w:numPr>
        <w:autoSpaceDE w:val="0"/>
        <w:autoSpaceDN w:val="0"/>
        <w:adjustRightInd w:val="0"/>
        <w:spacing w:line="560" w:lineRule="exact"/>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自筹资金：</w:t>
      </w:r>
    </w:p>
    <w:p>
      <w:pPr>
        <w:autoSpaceDE w:val="0"/>
        <w:autoSpaceDN w:val="0"/>
        <w:adjustRightInd w:val="0"/>
        <w:spacing w:line="560" w:lineRule="exact"/>
        <w:ind w:left="720" w:firstLine="960" w:firstLineChars="300"/>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小写：</w:t>
      </w:r>
    </w:p>
    <w:p>
      <w:pPr>
        <w:autoSpaceDE w:val="0"/>
        <w:autoSpaceDN w:val="0"/>
        <w:adjustRightInd w:val="0"/>
        <w:spacing w:line="560" w:lineRule="exact"/>
        <w:ind w:left="720" w:firstLine="960" w:firstLineChars="300"/>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大写：</w:t>
      </w:r>
    </w:p>
    <w:p>
      <w:pPr>
        <w:autoSpaceDE w:val="0"/>
        <w:autoSpaceDN w:val="0"/>
        <w:adjustRightInd w:val="0"/>
        <w:spacing w:line="560" w:lineRule="exact"/>
        <w:ind w:firstLine="640" w:firstLineChars="200"/>
        <w:jc w:val="left"/>
        <w:rPr>
          <w:rFonts w:ascii="仿宋" w:hAnsi="仿宋" w:eastAsia="仿宋" w:cs="仿宋"/>
          <w:sz w:val="32"/>
          <w:szCs w:val="32"/>
        </w:rPr>
      </w:pPr>
      <w:r>
        <w:rPr>
          <w:rFonts w:hint="eastAsia" w:ascii="仿宋_GB2312" w:hAnsi="仿宋_GB2312" w:eastAsia="仿宋_GB2312" w:cs="仿宋_GB2312"/>
          <w:color w:val="000000"/>
          <w:sz w:val="32"/>
          <w:szCs w:val="32"/>
        </w:rPr>
        <w:t>以上价格应包含整个项目合作或服务的全部内容，不得再有其他费用。</w:t>
      </w: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三、甲乙双方的权利和义务</w:t>
      </w:r>
    </w:p>
    <w:p>
      <w:pPr>
        <w:autoSpaceDE w:val="0"/>
        <w:autoSpaceDN w:val="0"/>
        <w:adjustRightInd w:val="0"/>
        <w:spacing w:line="560" w:lineRule="exact"/>
        <w:ind w:firstLine="640" w:firstLineChars="200"/>
        <w:jc w:val="left"/>
        <w:rPr>
          <w:rFonts w:ascii="仿宋" w:hAnsi="仿宋" w:eastAsia="仿宋" w:cs="仿宋"/>
          <w:b/>
          <w:bCs/>
          <w:sz w:val="32"/>
          <w:szCs w:val="32"/>
        </w:rPr>
      </w:pPr>
      <w:r>
        <w:rPr>
          <w:rFonts w:hint="eastAsia" w:ascii="仿宋" w:hAnsi="仿宋" w:eastAsia="仿宋" w:cs="仿宋"/>
          <w:b/>
          <w:bCs/>
          <w:sz w:val="32"/>
          <w:szCs w:val="32"/>
        </w:rPr>
        <w:t>（一）甲方的权利和义务</w:t>
      </w:r>
    </w:p>
    <w:p>
      <w:pPr>
        <w:autoSpaceDE w:val="0"/>
        <w:autoSpaceDN w:val="0"/>
        <w:adjustRightInd w:val="0"/>
        <w:spacing w:line="560" w:lineRule="exact"/>
        <w:ind w:firstLine="640" w:firstLineChars="200"/>
        <w:jc w:val="left"/>
        <w:rPr>
          <w:rFonts w:ascii="仿宋" w:hAnsi="仿宋" w:eastAsia="仿宋" w:cs="仿宋"/>
          <w:sz w:val="32"/>
          <w:szCs w:val="32"/>
        </w:rPr>
      </w:pPr>
    </w:p>
    <w:p>
      <w:pPr>
        <w:autoSpaceDE w:val="0"/>
        <w:autoSpaceDN w:val="0"/>
        <w:adjustRightInd w:val="0"/>
        <w:spacing w:line="560" w:lineRule="exact"/>
        <w:ind w:firstLine="640" w:firstLineChars="200"/>
        <w:jc w:val="left"/>
        <w:rPr>
          <w:rFonts w:ascii="仿宋" w:hAnsi="仿宋" w:eastAsia="仿宋" w:cs="仿宋"/>
          <w:sz w:val="32"/>
          <w:szCs w:val="32"/>
        </w:rPr>
      </w:pPr>
    </w:p>
    <w:p>
      <w:pPr>
        <w:autoSpaceDE w:val="0"/>
        <w:autoSpaceDN w:val="0"/>
        <w:adjustRightInd w:val="0"/>
        <w:spacing w:line="560" w:lineRule="exact"/>
        <w:ind w:firstLine="640" w:firstLineChars="200"/>
        <w:jc w:val="left"/>
        <w:rPr>
          <w:rFonts w:ascii="仿宋" w:hAnsi="仿宋" w:eastAsia="仿宋" w:cs="仿宋"/>
          <w:b/>
          <w:bCs/>
          <w:sz w:val="32"/>
          <w:szCs w:val="32"/>
        </w:rPr>
      </w:pPr>
      <w:r>
        <w:rPr>
          <w:rFonts w:hint="eastAsia" w:ascii="仿宋" w:hAnsi="仿宋" w:eastAsia="仿宋" w:cs="仿宋"/>
          <w:b/>
          <w:bCs/>
          <w:sz w:val="32"/>
          <w:szCs w:val="32"/>
        </w:rPr>
        <w:t>（二）乙方的权利和义务</w:t>
      </w:r>
    </w:p>
    <w:p>
      <w:pPr>
        <w:autoSpaceDE w:val="0"/>
        <w:autoSpaceDN w:val="0"/>
        <w:adjustRightInd w:val="0"/>
        <w:spacing w:line="560" w:lineRule="exact"/>
        <w:ind w:firstLine="640" w:firstLineChars="200"/>
        <w:jc w:val="left"/>
        <w:rPr>
          <w:rFonts w:ascii="仿宋" w:hAnsi="仿宋" w:eastAsia="仿宋" w:cs="仿宋"/>
          <w:b/>
          <w:sz w:val="32"/>
          <w:szCs w:val="32"/>
        </w:rPr>
      </w:pPr>
    </w:p>
    <w:p>
      <w:pPr>
        <w:autoSpaceDE w:val="0"/>
        <w:autoSpaceDN w:val="0"/>
        <w:adjustRightInd w:val="0"/>
        <w:spacing w:line="560" w:lineRule="exact"/>
        <w:ind w:firstLine="640" w:firstLineChars="200"/>
        <w:jc w:val="left"/>
        <w:rPr>
          <w:rFonts w:ascii="仿宋" w:hAnsi="仿宋" w:eastAsia="仿宋" w:cs="仿宋"/>
          <w:b/>
          <w:sz w:val="32"/>
          <w:szCs w:val="32"/>
        </w:rPr>
      </w:pP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四、以上内容与政府采购监督管理部门审核以及甲方确认采购和乙方成交承诺情况一致并不得改变或放弃。</w:t>
      </w: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color w:val="000000"/>
          <w:sz w:val="32"/>
          <w:szCs w:val="32"/>
        </w:rPr>
        <w:t>整体项目合作或服务的期限为</w:t>
      </w:r>
      <w:r>
        <w:rPr>
          <w:rFonts w:hint="eastAsia" w:ascii="黑体" w:hAnsi="黑体" w:eastAsia="黑体" w:cs="黑体"/>
          <w:color w:val="000000"/>
          <w:sz w:val="32"/>
          <w:szCs w:val="32"/>
          <w:u w:val="single"/>
        </w:rPr>
        <w:t xml:space="preserve">                   </w:t>
      </w:r>
      <w:r>
        <w:rPr>
          <w:rFonts w:hint="eastAsia" w:ascii="黑体" w:hAnsi="黑体" w:eastAsia="黑体" w:cs="黑体"/>
          <w:color w:val="000000"/>
          <w:sz w:val="32"/>
          <w:szCs w:val="32"/>
        </w:rPr>
        <w:t>。</w:t>
      </w:r>
    </w:p>
    <w:p>
      <w:pPr>
        <w:autoSpaceDE w:val="0"/>
        <w:autoSpaceDN w:val="0"/>
        <w:adjustRightInd w:val="0"/>
        <w:spacing w:line="560" w:lineRule="exact"/>
        <w:ind w:firstLine="640" w:firstLineChars="200"/>
        <w:jc w:val="left"/>
        <w:rPr>
          <w:rFonts w:ascii="宋体" w:hAnsi="宋体"/>
          <w:sz w:val="32"/>
          <w:szCs w:val="32"/>
        </w:rPr>
      </w:pPr>
      <w:r>
        <w:rPr>
          <w:rFonts w:hint="eastAsia" w:ascii="黑体" w:hAnsi="黑体" w:eastAsia="黑体" w:cs="黑体"/>
          <w:sz w:val="32"/>
          <w:szCs w:val="32"/>
        </w:rPr>
        <w:t>六、</w:t>
      </w:r>
      <w:r>
        <w:rPr>
          <w:rFonts w:hint="eastAsia" w:ascii="黑体" w:hAnsi="黑体" w:eastAsia="黑体" w:cs="黑体"/>
          <w:color w:val="000000"/>
          <w:sz w:val="32"/>
          <w:szCs w:val="32"/>
        </w:rPr>
        <w:t>验收及验收标准</w:t>
      </w:r>
    </w:p>
    <w:p>
      <w:pPr>
        <w:autoSpaceDE w:val="0"/>
        <w:autoSpaceDN w:val="0"/>
        <w:adjustRightInd w:val="0"/>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验收：甲方按合同内容享受乙方提供的服务，并应填写验收单。一般性项目由采购人代表两人以上（应有相关技术人员）组成验收组负责项目验收；大型或复杂的政府采购项目，应当邀请国家认可的有关部门参加验收工作。验收方成员应当在验收书上签字。</w:t>
      </w:r>
    </w:p>
    <w:p>
      <w:pPr>
        <w:autoSpaceDE w:val="0"/>
        <w:autoSpaceDN w:val="0"/>
        <w:adjustRightInd w:val="0"/>
        <w:spacing w:line="560" w:lineRule="exact"/>
        <w:ind w:firstLine="640" w:firstLineChars="200"/>
        <w:jc w:val="left"/>
        <w:rPr>
          <w:rFonts w:ascii="仿宋" w:hAnsi="仿宋" w:eastAsia="仿宋" w:cs="仿宋"/>
          <w:sz w:val="32"/>
          <w:szCs w:val="32"/>
        </w:rPr>
      </w:pPr>
      <w:r>
        <w:rPr>
          <w:rFonts w:hint="eastAsia" w:ascii="仿宋_GB2312" w:hAnsi="仿宋_GB2312" w:eastAsia="仿宋_GB2312" w:cs="仿宋_GB2312"/>
          <w:color w:val="000000"/>
          <w:sz w:val="32"/>
          <w:szCs w:val="32"/>
        </w:rPr>
        <w:t>具体的验收标准和要求如下：</w:t>
      </w:r>
    </w:p>
    <w:p>
      <w:pPr>
        <w:autoSpaceDE w:val="0"/>
        <w:autoSpaceDN w:val="0"/>
        <w:adjustRightInd w:val="0"/>
        <w:spacing w:line="560" w:lineRule="exact"/>
        <w:ind w:firstLine="640" w:firstLineChars="200"/>
        <w:jc w:val="left"/>
        <w:rPr>
          <w:rFonts w:ascii="仿宋" w:hAnsi="仿宋" w:eastAsia="仿宋" w:cs="仿宋"/>
          <w:sz w:val="32"/>
          <w:szCs w:val="32"/>
        </w:rPr>
      </w:pPr>
    </w:p>
    <w:p>
      <w:pPr>
        <w:autoSpaceDE w:val="0"/>
        <w:autoSpaceDN w:val="0"/>
        <w:adjustRightInd w:val="0"/>
        <w:spacing w:line="560" w:lineRule="exact"/>
        <w:ind w:firstLine="640" w:firstLineChars="200"/>
        <w:jc w:val="left"/>
        <w:rPr>
          <w:rFonts w:ascii="仿宋" w:hAnsi="仿宋" w:eastAsia="仿宋" w:cs="仿宋"/>
          <w:sz w:val="32"/>
          <w:szCs w:val="32"/>
        </w:rPr>
      </w:pP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七、合同价款结算</w:t>
      </w:r>
    </w:p>
    <w:p>
      <w:pPr>
        <w:autoSpaceDE w:val="0"/>
        <w:autoSpaceDN w:val="0"/>
        <w:adjustRightInd w:val="0"/>
        <w:spacing w:line="560" w:lineRule="exact"/>
        <w:ind w:firstLine="640" w:firstLineChars="200"/>
        <w:jc w:val="left"/>
        <w:rPr>
          <w:rFonts w:ascii="仿宋" w:hAnsi="仿宋" w:eastAsia="仿宋" w:cs="仿宋"/>
          <w:b/>
          <w:bCs/>
          <w:kern w:val="0"/>
          <w:sz w:val="32"/>
          <w:szCs w:val="32"/>
        </w:rPr>
      </w:pPr>
      <w:r>
        <w:rPr>
          <w:rFonts w:hint="eastAsia" w:ascii="仿宋" w:hAnsi="仿宋" w:eastAsia="仿宋" w:cs="仿宋"/>
          <w:b/>
          <w:kern w:val="0"/>
          <w:sz w:val="32"/>
          <w:szCs w:val="32"/>
        </w:rPr>
        <w:t>（一）</w:t>
      </w:r>
      <w:r>
        <w:rPr>
          <w:rFonts w:hint="eastAsia" w:ascii="仿宋" w:hAnsi="仿宋" w:eastAsia="仿宋" w:cs="仿宋"/>
          <w:b/>
          <w:bCs/>
          <w:kern w:val="0"/>
          <w:sz w:val="32"/>
          <w:szCs w:val="32"/>
        </w:rPr>
        <w:t>履约保证、费用支付和采购资金保证</w:t>
      </w:r>
    </w:p>
    <w:p>
      <w:pPr>
        <w:tabs>
          <w:tab w:val="left" w:pos="6930"/>
        </w:tabs>
        <w:autoSpaceDE w:val="0"/>
        <w:autoSpaceDN w:val="0"/>
        <w:adjustRightInd w:val="0"/>
        <w:spacing w:line="560" w:lineRule="exact"/>
        <w:ind w:right="-154" w:firstLine="640" w:firstLineChars="200"/>
        <w:jc w:val="left"/>
        <w:rPr>
          <w:rFonts w:ascii="仿宋" w:hAnsi="仿宋" w:eastAsia="仿宋" w:cs="仿宋"/>
          <w:sz w:val="32"/>
          <w:szCs w:val="32"/>
        </w:rPr>
      </w:pPr>
      <w:r>
        <w:rPr>
          <w:rFonts w:hint="eastAsia" w:ascii="仿宋" w:hAnsi="仿宋" w:eastAsia="仿宋" w:cs="仿宋"/>
          <w:sz w:val="32"/>
          <w:szCs w:val="32"/>
        </w:rPr>
        <w:t>乙方应根据磋商文件要求取得云南省政府采购和出让中心的签章，合同才正式生效。</w:t>
      </w:r>
    </w:p>
    <w:p>
      <w:pPr>
        <w:tabs>
          <w:tab w:val="left" w:pos="6930"/>
        </w:tabs>
        <w:autoSpaceDE w:val="0"/>
        <w:autoSpaceDN w:val="0"/>
        <w:adjustRightInd w:val="0"/>
        <w:spacing w:line="560" w:lineRule="exact"/>
        <w:ind w:right="-154" w:firstLine="640" w:firstLineChars="200"/>
        <w:jc w:val="left"/>
        <w:rPr>
          <w:rFonts w:ascii="仿宋" w:hAnsi="仿宋" w:eastAsia="仿宋" w:cs="仿宋"/>
          <w:sz w:val="32"/>
          <w:szCs w:val="32"/>
        </w:rPr>
      </w:pPr>
      <w:r>
        <w:rPr>
          <w:rFonts w:hint="eastAsia" w:ascii="仿宋" w:hAnsi="仿宋" w:eastAsia="仿宋" w:cs="仿宋"/>
          <w:sz w:val="32"/>
          <w:szCs w:val="32"/>
        </w:rPr>
        <w:t>合同签订时，甲方应保证采购资金已落实并按照合同约定的时间及时向乙方支付合同款项。否则，由此产生的一切后果和导致的法律责任、行政责任均由甲方自行承担。</w:t>
      </w:r>
    </w:p>
    <w:p>
      <w:pPr>
        <w:autoSpaceDE w:val="0"/>
        <w:autoSpaceDN w:val="0"/>
        <w:adjustRightInd w:val="0"/>
        <w:spacing w:line="560" w:lineRule="exact"/>
        <w:ind w:firstLine="640" w:firstLineChars="200"/>
        <w:jc w:val="left"/>
        <w:rPr>
          <w:rFonts w:ascii="仿宋" w:hAnsi="仿宋" w:eastAsia="仿宋" w:cs="仿宋"/>
          <w:b/>
          <w:kern w:val="0"/>
          <w:sz w:val="32"/>
          <w:szCs w:val="32"/>
        </w:rPr>
      </w:pPr>
      <w:r>
        <w:rPr>
          <w:rFonts w:hint="eastAsia" w:ascii="仿宋" w:hAnsi="仿宋" w:eastAsia="仿宋" w:cs="仿宋"/>
          <w:b/>
          <w:kern w:val="0"/>
          <w:sz w:val="32"/>
          <w:szCs w:val="32"/>
        </w:rPr>
        <w:t>（二）非国库支付</w:t>
      </w:r>
    </w:p>
    <w:p>
      <w:pPr>
        <w:tabs>
          <w:tab w:val="left" w:pos="6930"/>
        </w:tabs>
        <w:autoSpaceDE w:val="0"/>
        <w:autoSpaceDN w:val="0"/>
        <w:adjustRightInd w:val="0"/>
        <w:spacing w:line="560" w:lineRule="exact"/>
        <w:ind w:right="-154" w:firstLine="640" w:firstLineChars="200"/>
        <w:jc w:val="left"/>
        <w:rPr>
          <w:rFonts w:ascii="仿宋" w:hAnsi="仿宋" w:eastAsia="仿宋" w:cs="仿宋"/>
          <w:sz w:val="32"/>
          <w:szCs w:val="32"/>
        </w:rPr>
      </w:pPr>
      <w:r>
        <w:rPr>
          <w:rFonts w:hint="eastAsia" w:ascii="仿宋" w:hAnsi="仿宋" w:eastAsia="仿宋" w:cs="仿宋"/>
          <w:sz w:val="32"/>
          <w:szCs w:val="32"/>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pPr>
        <w:autoSpaceDE w:val="0"/>
        <w:autoSpaceDN w:val="0"/>
        <w:adjustRightInd w:val="0"/>
        <w:spacing w:line="560" w:lineRule="exact"/>
        <w:ind w:firstLine="640" w:firstLineChars="200"/>
        <w:jc w:val="left"/>
        <w:rPr>
          <w:rFonts w:ascii="仿宋" w:hAnsi="仿宋" w:eastAsia="仿宋" w:cs="仿宋"/>
          <w:b/>
          <w:kern w:val="0"/>
          <w:sz w:val="32"/>
          <w:szCs w:val="32"/>
        </w:rPr>
      </w:pPr>
      <w:r>
        <w:rPr>
          <w:rFonts w:hint="eastAsia" w:ascii="仿宋" w:hAnsi="仿宋" w:eastAsia="仿宋" w:cs="仿宋"/>
          <w:b/>
          <w:kern w:val="0"/>
          <w:sz w:val="32"/>
          <w:szCs w:val="32"/>
        </w:rPr>
        <w:t>（三）国库集中支付</w:t>
      </w:r>
    </w:p>
    <w:p>
      <w:pPr>
        <w:autoSpaceDE w:val="0"/>
        <w:autoSpaceDN w:val="0"/>
        <w:adjustRightIn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甲方按合同规定审查无误后按国库支付规定的方式和比例向云南省财政厅国库处申请付款；</w:t>
      </w:r>
    </w:p>
    <w:p>
      <w:pPr>
        <w:autoSpaceDE w:val="0"/>
        <w:autoSpaceDN w:val="0"/>
        <w:adjustRightIn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国库集中支付的有关规定和手续问题由财政国库部门负责解释。</w:t>
      </w:r>
    </w:p>
    <w:p>
      <w:pPr>
        <w:autoSpaceDE w:val="0"/>
        <w:autoSpaceDN w:val="0"/>
        <w:adjustRightInd w:val="0"/>
        <w:spacing w:line="560" w:lineRule="exact"/>
        <w:ind w:firstLine="640" w:firstLineChars="200"/>
        <w:jc w:val="left"/>
        <w:rPr>
          <w:rFonts w:ascii="仿宋" w:hAnsi="仿宋" w:eastAsia="仿宋" w:cs="仿宋"/>
          <w:b/>
          <w:kern w:val="0"/>
          <w:sz w:val="32"/>
          <w:szCs w:val="32"/>
        </w:rPr>
      </w:pPr>
      <w:r>
        <w:rPr>
          <w:rFonts w:hint="eastAsia" w:ascii="仿宋" w:hAnsi="仿宋" w:eastAsia="仿宋" w:cs="仿宋"/>
          <w:b/>
          <w:kern w:val="0"/>
          <w:sz w:val="32"/>
          <w:szCs w:val="32"/>
        </w:rPr>
        <w:t>（四）本合同价款的支付办法</w:t>
      </w:r>
    </w:p>
    <w:p>
      <w:pPr>
        <w:autoSpaceDE w:val="0"/>
        <w:autoSpaceDN w:val="0"/>
        <w:adjustRightIn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根据磋商文件及成交供应商的响应文件承诺，本合同按以下方式支付合同款：</w:t>
      </w:r>
    </w:p>
    <w:p>
      <w:pPr>
        <w:autoSpaceDE w:val="0"/>
        <w:autoSpaceDN w:val="0"/>
        <w:adjustRightInd w:val="0"/>
        <w:spacing w:line="560" w:lineRule="exact"/>
        <w:jc w:val="left"/>
        <w:rPr>
          <w:rFonts w:ascii="仿宋" w:hAnsi="仿宋" w:eastAsia="仿宋" w:cs="仿宋"/>
          <w:sz w:val="32"/>
          <w:szCs w:val="32"/>
        </w:rPr>
      </w:pP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八、违约责任</w:t>
      </w:r>
    </w:p>
    <w:p>
      <w:pPr>
        <w:autoSpaceDE w:val="0"/>
        <w:autoSpaceDN w:val="0"/>
        <w:adjustRightInd w:val="0"/>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乙方未能履行合同义务，不能达到甲方要求的管理目标，甲方有权追究乙方违约与赔偿责任或终止合同。</w:t>
      </w:r>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_GB2312" w:hAnsi="仿宋_GB2312" w:eastAsia="仿宋_GB2312" w:cs="仿宋_GB2312"/>
          <w:color w:val="000000"/>
          <w:sz w:val="32"/>
          <w:szCs w:val="32"/>
        </w:rPr>
        <w:t>甲方违反本合同约定的义务，致使乙方不能完成本合同约定的服务内容和标准的，乙方有权要求甲方承担违约与赔偿责任或终止合同。</w:t>
      </w: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九、甲方有权拒付合同价以外的任何费用；乙方有权拒绝合同整体范围以外的条件。</w:t>
      </w: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十、甲乙双方在履行合同过程中发生纠纷，应及时向云南省政府采购和出让中心反映或向有关监督管理部门投诉，以便相关部门进行协调或处理；或按以下方式处理：</w:t>
      </w:r>
      <w:r>
        <w:rPr>
          <w:rFonts w:hint="eastAsia" w:ascii="黑体" w:hAnsi="黑体" w:eastAsia="黑体" w:cs="黑体"/>
          <w:bCs/>
          <w:sz w:val="32"/>
          <w:szCs w:val="32"/>
        </w:rPr>
        <w:t>（请在</w:t>
      </w:r>
      <w:r>
        <w:rPr>
          <w:rFonts w:hint="eastAsia" w:ascii="黑体" w:hAnsi="黑体" w:eastAsia="黑体" w:cs="黑体"/>
          <w:sz w:val="32"/>
          <w:szCs w:val="32"/>
        </w:rPr>
        <w:t>□内打√，其余打×）</w:t>
      </w: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□向合同签订地仲裁部门申请仲裁；</w:t>
      </w: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□向合同签订地人民法院管辖提起诉讼。</w:t>
      </w: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十一、本合同其他未尽事宜，按国家《合同法》有关规定处理。</w:t>
      </w: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十二、本合同一式五份，甲方二份（含监督管理部门备案的一份），乙方二份（含用于结算支付的一份），丙方一份。</w:t>
      </w: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十三、本合同自三方共同签订之日起生效。</w:t>
      </w: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十四、本合同不可分割之部分及解释顺序</w:t>
      </w:r>
    </w:p>
    <w:p>
      <w:pPr>
        <w:autoSpaceDE w:val="0"/>
        <w:autoSpaceDN w:val="0"/>
        <w:adjustRightIn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合同书及附件；</w:t>
      </w:r>
    </w:p>
    <w:p>
      <w:pPr>
        <w:autoSpaceDE w:val="0"/>
        <w:autoSpaceDN w:val="0"/>
        <w:adjustRightIn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 成交通知书；</w:t>
      </w:r>
    </w:p>
    <w:p>
      <w:pPr>
        <w:autoSpaceDE w:val="0"/>
        <w:autoSpaceDN w:val="0"/>
        <w:adjustRightIn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 成交供应商响应文件及澄清或磋商文件；</w:t>
      </w:r>
    </w:p>
    <w:p>
      <w:pPr>
        <w:autoSpaceDE w:val="0"/>
        <w:autoSpaceDN w:val="0"/>
        <w:adjustRightIn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 磋商文件。</w:t>
      </w:r>
    </w:p>
    <w:p>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color w:val="000000"/>
          <w:sz w:val="32"/>
          <w:szCs w:val="32"/>
        </w:rPr>
        <w:t>十五、附件名称（如有请务必填写）</w:t>
      </w:r>
    </w:p>
    <w:p>
      <w:pPr>
        <w:autoSpaceDE w:val="0"/>
        <w:autoSpaceDN w:val="0"/>
        <w:adjustRightInd w:val="0"/>
        <w:spacing w:line="5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详细的项目合作或服务方案及计划             □</w:t>
      </w:r>
    </w:p>
    <w:p>
      <w:pPr>
        <w:autoSpaceDE w:val="0"/>
        <w:autoSpaceDN w:val="0"/>
        <w:adjustRightInd w:val="0"/>
        <w:spacing w:line="5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乙方的服务网点信息及售后服务细则           □</w:t>
      </w:r>
    </w:p>
    <w:p>
      <w:pPr>
        <w:autoSpaceDE w:val="0"/>
        <w:autoSpaceDN w:val="0"/>
        <w:adjustRightInd w:val="0"/>
        <w:spacing w:line="520" w:lineRule="exact"/>
        <w:ind w:firstLine="640" w:firstLineChars="200"/>
        <w:jc w:val="left"/>
        <w:rPr>
          <w:rFonts w:ascii="宋体" w:hAnsi="宋体"/>
          <w:color w:val="000000"/>
          <w:sz w:val="32"/>
          <w:szCs w:val="32"/>
        </w:rPr>
      </w:pPr>
      <w:r>
        <w:rPr>
          <w:rFonts w:hint="eastAsia" w:ascii="仿宋_GB2312" w:hAnsi="仿宋_GB2312" w:eastAsia="仿宋_GB2312" w:cs="仿宋_GB2312"/>
          <w:color w:val="000000"/>
          <w:sz w:val="32"/>
          <w:szCs w:val="32"/>
        </w:rPr>
        <w:t>3. 其他</w:t>
      </w:r>
      <w:r>
        <w:rPr>
          <w:rFonts w:hint="eastAsia" w:ascii="宋体" w:hAnsi="宋体"/>
          <w:color w:val="000000"/>
          <w:sz w:val="32"/>
          <w:szCs w:val="32"/>
        </w:rPr>
        <w:t xml:space="preserve">                                       □</w:t>
      </w:r>
    </w:p>
    <w:p>
      <w:pPr>
        <w:autoSpaceDE w:val="0"/>
        <w:autoSpaceDN w:val="0"/>
        <w:adjustRightInd w:val="0"/>
        <w:spacing w:line="560" w:lineRule="exact"/>
        <w:jc w:val="left"/>
        <w:rPr>
          <w:rFonts w:ascii="仿宋" w:hAnsi="仿宋" w:eastAsia="仿宋" w:cs="仿宋"/>
          <w:sz w:val="32"/>
          <w:szCs w:val="32"/>
        </w:rPr>
      </w:pPr>
    </w:p>
    <w:p>
      <w:pPr>
        <w:autoSpaceDE w:val="0"/>
        <w:autoSpaceDN w:val="0"/>
        <w:adjustRightInd w:val="0"/>
        <w:spacing w:line="400" w:lineRule="exact"/>
        <w:rPr>
          <w:rFonts w:ascii="仿宋" w:hAnsi="仿宋" w:eastAsia="仿宋" w:cs="仿宋"/>
          <w:kern w:val="0"/>
          <w:sz w:val="28"/>
          <w:szCs w:val="28"/>
          <w:lang w:val="zh-CN"/>
        </w:rPr>
      </w:pPr>
      <w:r>
        <w:rPr>
          <w:rFonts w:ascii="宋体" w:hAnsi="宋体"/>
          <w:kern w:val="0"/>
          <w:sz w:val="28"/>
          <w:szCs w:val="28"/>
          <w:lang w:val="zh-CN"/>
        </w:rPr>
        <w:br w:type="page"/>
      </w:r>
      <w:r>
        <w:rPr>
          <w:rFonts w:hint="eastAsia" w:ascii="仿宋" w:hAnsi="仿宋" w:eastAsia="仿宋" w:cs="仿宋"/>
          <w:kern w:val="0"/>
          <w:sz w:val="28"/>
          <w:szCs w:val="28"/>
          <w:lang w:val="zh-CN"/>
        </w:rPr>
        <w:t>甲方（采购人）名      称：</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地      址：</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邮      编：</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法定代表人:</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委托代理人：</w:t>
      </w:r>
    </w:p>
    <w:p>
      <w:pPr>
        <w:autoSpaceDE w:val="0"/>
        <w:autoSpaceDN w:val="0"/>
        <w:adjustRightInd w:val="0"/>
        <w:spacing w:line="400" w:lineRule="exact"/>
        <w:ind w:firstLine="840" w:firstLineChars="300"/>
        <w:rPr>
          <w:rFonts w:ascii="仿宋" w:hAnsi="仿宋" w:eastAsia="仿宋" w:cs="仿宋"/>
          <w:kern w:val="0"/>
          <w:sz w:val="28"/>
          <w:szCs w:val="28"/>
          <w:lang w:val="zh-CN"/>
        </w:rPr>
      </w:pPr>
      <w:r>
        <w:rPr>
          <w:rFonts w:hint="eastAsia" w:ascii="仿宋" w:hAnsi="仿宋" w:eastAsia="仿宋" w:cs="仿宋"/>
          <w:kern w:val="0"/>
          <w:sz w:val="28"/>
          <w:szCs w:val="28"/>
          <w:lang w:val="zh-CN"/>
        </w:rPr>
        <w:t>项目（技术）负责人：</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电　　　话：</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开户  银行：</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账      号：</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签订</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日期：20</w:t>
      </w:r>
      <w:r>
        <w:rPr>
          <w:rFonts w:hint="eastAsia" w:ascii="仿宋" w:hAnsi="仿宋" w:eastAsia="仿宋" w:cs="仿宋"/>
          <w:kern w:val="0"/>
          <w:sz w:val="28"/>
          <w:szCs w:val="28"/>
        </w:rPr>
        <w:t>20</w:t>
      </w:r>
      <w:r>
        <w:rPr>
          <w:rFonts w:hint="eastAsia" w:ascii="仿宋" w:hAnsi="仿宋" w:eastAsia="仿宋" w:cs="仿宋"/>
          <w:kern w:val="0"/>
          <w:sz w:val="28"/>
          <w:szCs w:val="28"/>
          <w:lang w:val="zh-CN"/>
        </w:rPr>
        <w:t>年　月　日</w:t>
      </w:r>
    </w:p>
    <w:p>
      <w:pPr>
        <w:autoSpaceDE w:val="0"/>
        <w:autoSpaceDN w:val="0"/>
        <w:adjustRightInd w:val="0"/>
        <w:spacing w:line="400" w:lineRule="exact"/>
        <w:rPr>
          <w:rFonts w:ascii="仿宋" w:hAnsi="仿宋" w:eastAsia="仿宋" w:cs="仿宋"/>
          <w:kern w:val="0"/>
          <w:sz w:val="28"/>
          <w:szCs w:val="28"/>
        </w:rPr>
      </w:pPr>
    </w:p>
    <w:p>
      <w:pPr>
        <w:autoSpaceDE w:val="0"/>
        <w:autoSpaceDN w:val="0"/>
        <w:adjustRightInd w:val="0"/>
        <w:spacing w:line="400" w:lineRule="exact"/>
        <w:rPr>
          <w:rFonts w:ascii="仿宋" w:hAnsi="仿宋" w:eastAsia="仿宋" w:cs="仿宋"/>
          <w:kern w:val="0"/>
          <w:sz w:val="28"/>
          <w:szCs w:val="28"/>
          <w:lang w:val="zh-CN"/>
        </w:rPr>
      </w:pPr>
      <w:r>
        <w:rPr>
          <w:rFonts w:hint="eastAsia" w:ascii="仿宋" w:hAnsi="仿宋" w:eastAsia="仿宋" w:cs="仿宋"/>
          <w:kern w:val="0"/>
          <w:sz w:val="28"/>
          <w:szCs w:val="28"/>
          <w:lang w:val="zh-CN"/>
        </w:rPr>
        <w:t>乙方（供应商）名      称：</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地      址：</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邮      编：</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法定代表人：</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委托代理人：</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电      话：</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开户  银行：</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账      号：</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签订</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日期：20</w:t>
      </w:r>
      <w:r>
        <w:rPr>
          <w:rFonts w:hint="eastAsia" w:ascii="仿宋" w:hAnsi="仿宋" w:eastAsia="仿宋" w:cs="仿宋"/>
          <w:kern w:val="0"/>
          <w:sz w:val="28"/>
          <w:szCs w:val="28"/>
        </w:rPr>
        <w:t>20</w:t>
      </w:r>
      <w:r>
        <w:rPr>
          <w:rFonts w:hint="eastAsia" w:ascii="仿宋" w:hAnsi="仿宋" w:eastAsia="仿宋" w:cs="仿宋"/>
          <w:kern w:val="0"/>
          <w:sz w:val="28"/>
          <w:szCs w:val="28"/>
          <w:lang w:val="zh-CN"/>
        </w:rPr>
        <w:t>年　月　日</w:t>
      </w:r>
    </w:p>
    <w:p>
      <w:pPr>
        <w:autoSpaceDE w:val="0"/>
        <w:autoSpaceDN w:val="0"/>
        <w:adjustRightInd w:val="0"/>
        <w:spacing w:line="400" w:lineRule="exact"/>
        <w:rPr>
          <w:rFonts w:ascii="仿宋" w:hAnsi="仿宋" w:eastAsia="仿宋" w:cs="仿宋"/>
          <w:kern w:val="0"/>
          <w:sz w:val="28"/>
          <w:szCs w:val="28"/>
          <w:lang w:val="zh-CN"/>
        </w:rPr>
      </w:pPr>
    </w:p>
    <w:p>
      <w:pPr>
        <w:autoSpaceDE w:val="0"/>
        <w:autoSpaceDN w:val="0"/>
        <w:adjustRightInd w:val="0"/>
        <w:spacing w:line="400" w:lineRule="exact"/>
        <w:rPr>
          <w:rFonts w:ascii="仿宋" w:hAnsi="仿宋" w:eastAsia="仿宋" w:cs="仿宋"/>
          <w:kern w:val="0"/>
          <w:sz w:val="28"/>
          <w:szCs w:val="28"/>
          <w:lang w:val="zh-CN"/>
        </w:rPr>
      </w:pPr>
      <w:r>
        <w:rPr>
          <w:rFonts w:hint="eastAsia" w:ascii="仿宋" w:hAnsi="仿宋" w:eastAsia="仿宋" w:cs="仿宋"/>
          <w:kern w:val="0"/>
          <w:sz w:val="28"/>
          <w:szCs w:val="28"/>
          <w:lang w:val="zh-CN"/>
        </w:rPr>
        <w:t>丙方（鉴证方）名　　　称：云南省政府采购和出让中心</w:t>
      </w:r>
    </w:p>
    <w:p>
      <w:pPr>
        <w:autoSpaceDE w:val="0"/>
        <w:autoSpaceDN w:val="0"/>
        <w:adjustRightInd w:val="0"/>
        <w:spacing w:line="400" w:lineRule="exact"/>
        <w:ind w:firstLine="1960" w:firstLineChars="700"/>
        <w:rPr>
          <w:rFonts w:ascii="仿宋" w:hAnsi="仿宋" w:eastAsia="仿宋" w:cs="仿宋"/>
          <w:bCs/>
          <w:szCs w:val="21"/>
        </w:rPr>
      </w:pPr>
      <w:r>
        <w:rPr>
          <w:rFonts w:hint="eastAsia" w:ascii="仿宋" w:hAnsi="仿宋" w:eastAsia="仿宋" w:cs="仿宋"/>
          <w:kern w:val="0"/>
          <w:sz w:val="28"/>
          <w:szCs w:val="28"/>
          <w:lang w:val="zh-CN"/>
        </w:rPr>
        <w:t>地　　　址：昆明高新区科发路269号交易大厦六楼</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邮　　　编：650106</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法定代表人：</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委托代理人：</w:t>
      </w:r>
    </w:p>
    <w:p>
      <w:pPr>
        <w:autoSpaceDE w:val="0"/>
        <w:autoSpaceDN w:val="0"/>
        <w:adjustRightInd w:val="0"/>
        <w:spacing w:line="480" w:lineRule="auto"/>
        <w:ind w:firstLine="1974" w:firstLineChars="705"/>
        <w:rPr>
          <w:rFonts w:ascii="仿宋" w:hAnsi="仿宋" w:eastAsia="仿宋" w:cs="仿宋"/>
          <w:sz w:val="28"/>
          <w:szCs w:val="28"/>
        </w:rPr>
      </w:pPr>
      <w:r>
        <w:rPr>
          <w:rFonts w:hint="eastAsia" w:ascii="仿宋" w:hAnsi="仿宋" w:eastAsia="仿宋" w:cs="仿宋"/>
          <w:kern w:val="0"/>
          <w:sz w:val="28"/>
          <w:szCs w:val="28"/>
          <w:lang w:val="zh-CN"/>
        </w:rPr>
        <w:t>经　办　人：</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电　　　话：0871-65360725</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开户  名称：云南省政府采购和出让中心</w:t>
      </w:r>
    </w:p>
    <w:p>
      <w:pPr>
        <w:autoSpaceDE w:val="0"/>
        <w:autoSpaceDN w:val="0"/>
        <w:adjustRightInd w:val="0"/>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开户  银行：交通银行股份有限公司昆明官南支行</w:t>
      </w:r>
    </w:p>
    <w:p>
      <w:pPr>
        <w:spacing w:line="400" w:lineRule="exact"/>
        <w:ind w:firstLine="1960" w:firstLineChars="700"/>
        <w:rPr>
          <w:rFonts w:ascii="仿宋" w:hAnsi="仿宋" w:eastAsia="仿宋" w:cs="仿宋"/>
          <w:kern w:val="0"/>
          <w:sz w:val="28"/>
          <w:szCs w:val="28"/>
          <w:lang w:val="zh-CN"/>
        </w:rPr>
      </w:pPr>
      <w:r>
        <w:rPr>
          <w:rFonts w:hint="eastAsia" w:ascii="仿宋" w:hAnsi="仿宋" w:eastAsia="仿宋" w:cs="仿宋"/>
          <w:kern w:val="0"/>
          <w:sz w:val="28"/>
          <w:szCs w:val="28"/>
          <w:lang w:val="zh-CN"/>
        </w:rPr>
        <w:t>账      号：531000319010514000378</w:t>
      </w:r>
    </w:p>
    <w:p>
      <w:pPr>
        <w:spacing w:line="400" w:lineRule="exact"/>
        <w:ind w:firstLine="1960" w:firstLineChars="700"/>
        <w:rPr>
          <w:rFonts w:ascii="仿宋" w:hAnsi="仿宋" w:eastAsia="仿宋" w:cs="仿宋"/>
          <w:kern w:val="0"/>
          <w:sz w:val="28"/>
          <w:szCs w:val="28"/>
        </w:rPr>
      </w:pPr>
      <w:r>
        <w:rPr>
          <w:rFonts w:hint="eastAsia" w:ascii="仿宋" w:hAnsi="仿宋" w:eastAsia="仿宋" w:cs="仿宋"/>
          <w:kern w:val="0"/>
          <w:sz w:val="28"/>
          <w:szCs w:val="28"/>
          <w:lang w:val="zh-CN"/>
        </w:rPr>
        <w:t>签订</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日期：20</w:t>
      </w:r>
      <w:r>
        <w:rPr>
          <w:rFonts w:hint="eastAsia" w:ascii="仿宋" w:hAnsi="仿宋" w:eastAsia="仿宋" w:cs="仿宋"/>
          <w:kern w:val="0"/>
          <w:sz w:val="28"/>
          <w:szCs w:val="28"/>
        </w:rPr>
        <w:t>20</w:t>
      </w:r>
      <w:r>
        <w:rPr>
          <w:rFonts w:hint="eastAsia" w:ascii="仿宋" w:hAnsi="仿宋" w:eastAsia="仿宋" w:cs="仿宋"/>
          <w:kern w:val="0"/>
          <w:sz w:val="28"/>
          <w:szCs w:val="28"/>
          <w:lang w:val="zh-CN"/>
        </w:rPr>
        <w:t>年　月　日</w:t>
      </w:r>
    </w:p>
    <w:p>
      <w:pPr>
        <w:autoSpaceDE w:val="0"/>
        <w:autoSpaceDN w:val="0"/>
        <w:adjustRightInd w:val="0"/>
        <w:spacing w:line="480" w:lineRule="exact"/>
        <w:ind w:firstLine="1974" w:firstLineChars="705"/>
        <w:jc w:val="center"/>
        <w:rPr>
          <w:rFonts w:ascii="宋体" w:hAnsi="宋体"/>
          <w:kern w:val="0"/>
          <w:sz w:val="28"/>
          <w:szCs w:val="28"/>
          <w:lang w:val="zh-CN"/>
        </w:rPr>
      </w:pPr>
    </w:p>
    <w:p>
      <w:pPr>
        <w:rPr>
          <w:rFonts w:ascii="宋体" w:hAnsi="宋体"/>
          <w:kern w:val="0"/>
          <w:sz w:val="28"/>
          <w:szCs w:val="28"/>
          <w:lang w:val="zh-CN"/>
        </w:rPr>
      </w:pPr>
      <w:r>
        <w:rPr>
          <w:rFonts w:ascii="宋体" w:hAnsi="宋体"/>
          <w:kern w:val="0"/>
          <w:sz w:val="28"/>
          <w:szCs w:val="28"/>
          <w:lang w:val="zh-CN"/>
        </w:rPr>
        <w:br w:type="page"/>
      </w:r>
    </w:p>
    <w:p>
      <w:pPr>
        <w:autoSpaceDE w:val="0"/>
        <w:autoSpaceDN w:val="0"/>
        <w:adjustRightInd w:val="0"/>
        <w:spacing w:line="480" w:lineRule="exact"/>
        <w:jc w:val="center"/>
        <w:outlineLvl w:val="0"/>
        <w:rPr>
          <w:rFonts w:ascii="宋体" w:hAnsi="宋体"/>
          <w:sz w:val="32"/>
          <w:szCs w:val="32"/>
        </w:rPr>
      </w:pPr>
      <w:bookmarkStart w:id="264" w:name="_Toc6074"/>
      <w:r>
        <w:rPr>
          <w:rFonts w:ascii="宋体" w:hAnsi="宋体"/>
          <w:b/>
          <w:bCs/>
          <w:sz w:val="32"/>
        </w:rPr>
        <w:t>第</w:t>
      </w:r>
      <w:bookmarkStart w:id="265" w:name="_Toc19263"/>
      <w:bookmarkStart w:id="266" w:name="_Toc337822250"/>
      <w:bookmarkStart w:id="267" w:name="_Toc86124081"/>
      <w:r>
        <w:rPr>
          <w:rFonts w:ascii="宋体" w:hAnsi="宋体"/>
          <w:b/>
          <w:bCs/>
          <w:sz w:val="32"/>
        </w:rPr>
        <w:t>四章  响应文件格式</w:t>
      </w:r>
      <w:bookmarkEnd w:id="264"/>
    </w:p>
    <w:bookmarkEnd w:id="265"/>
    <w:bookmarkEnd w:id="266"/>
    <w:bookmarkEnd w:id="267"/>
    <w:p>
      <w:pPr>
        <w:spacing w:line="360" w:lineRule="auto"/>
        <w:jc w:val="left"/>
        <w:rPr>
          <w:rFonts w:ascii="宋体" w:hAnsi="宋体"/>
          <w:sz w:val="24"/>
        </w:rPr>
      </w:pPr>
    </w:p>
    <w:p>
      <w:pPr>
        <w:spacing w:line="360" w:lineRule="auto"/>
        <w:jc w:val="center"/>
        <w:rPr>
          <w:rFonts w:ascii="宋体" w:hAnsi="宋体"/>
          <w:b/>
          <w:sz w:val="32"/>
          <w:szCs w:val="32"/>
        </w:rPr>
      </w:pPr>
      <w:r>
        <w:rPr>
          <w:rFonts w:ascii="宋体" w:hAnsi="宋体"/>
          <w:b/>
          <w:sz w:val="32"/>
          <w:szCs w:val="32"/>
          <w:u w:val="single"/>
        </w:rPr>
        <w:t xml:space="preserve">     （项目名称）     </w:t>
      </w:r>
      <w:r>
        <w:rPr>
          <w:rFonts w:ascii="宋体" w:hAnsi="宋体"/>
          <w:b/>
          <w:sz w:val="32"/>
          <w:szCs w:val="32"/>
        </w:rPr>
        <w:t>采购</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pStyle w:val="15"/>
        <w:spacing w:line="360" w:lineRule="auto"/>
        <w:jc w:val="center"/>
        <w:rPr>
          <w:rFonts w:hAnsi="宋体"/>
          <w:b/>
          <w:sz w:val="84"/>
          <w:szCs w:val="84"/>
        </w:rPr>
      </w:pPr>
      <w:r>
        <w:rPr>
          <w:rFonts w:hAnsi="宋体"/>
          <w:b/>
          <w:sz w:val="84"/>
          <w:szCs w:val="84"/>
        </w:rPr>
        <w:t>响 应 文 件</w:t>
      </w:r>
    </w:p>
    <w:p>
      <w:pPr>
        <w:spacing w:line="360" w:lineRule="auto"/>
        <w:jc w:val="center"/>
        <w:rPr>
          <w:rFonts w:ascii="宋体" w:hAnsi="宋体"/>
          <w:sz w:val="24"/>
        </w:rPr>
      </w:pPr>
    </w:p>
    <w:p>
      <w:pPr>
        <w:spacing w:line="360" w:lineRule="auto"/>
        <w:jc w:val="center"/>
        <w:rPr>
          <w:rFonts w:ascii="宋体" w:hAnsi="宋体"/>
          <w:sz w:val="24"/>
        </w:rPr>
      </w:pPr>
    </w:p>
    <w:p>
      <w:pPr>
        <w:pStyle w:val="15"/>
        <w:spacing w:line="360" w:lineRule="auto"/>
        <w:ind w:firstLine="3046" w:firstLineChars="1088"/>
        <w:rPr>
          <w:rFonts w:hAnsi="宋体"/>
          <w:b/>
          <w:sz w:val="28"/>
          <w:szCs w:val="28"/>
          <w:u w:val="single"/>
        </w:rPr>
      </w:pPr>
      <w:r>
        <w:rPr>
          <w:rFonts w:hAnsi="宋体"/>
          <w:b/>
          <w:sz w:val="28"/>
          <w:szCs w:val="28"/>
        </w:rPr>
        <w:t>项目编号：</w:t>
      </w:r>
    </w:p>
    <w:p>
      <w:pPr>
        <w:ind w:firstLine="3192" w:firstLineChars="1140"/>
        <w:rPr>
          <w:rFonts w:ascii="宋体" w:hAnsi="宋体"/>
          <w:b/>
          <w:kern w:val="0"/>
          <w:sz w:val="28"/>
          <w:szCs w:val="28"/>
        </w:rPr>
      </w:pPr>
    </w:p>
    <w:p>
      <w:pPr>
        <w:pStyle w:val="15"/>
        <w:spacing w:line="360" w:lineRule="auto"/>
        <w:ind w:firstLine="3046" w:firstLineChars="1088"/>
        <w:rPr>
          <w:rFonts w:hAnsi="宋体"/>
          <w:b/>
          <w:sz w:val="28"/>
          <w:szCs w:val="28"/>
        </w:rPr>
      </w:pPr>
    </w:p>
    <w:p>
      <w:pPr>
        <w:spacing w:line="360" w:lineRule="auto"/>
        <w:jc w:val="center"/>
        <w:rPr>
          <w:rFonts w:ascii="宋体" w:hAnsi="宋体"/>
          <w:sz w:val="24"/>
        </w:rPr>
      </w:pPr>
    </w:p>
    <w:p>
      <w:pPr>
        <w:tabs>
          <w:tab w:val="left" w:pos="7377"/>
        </w:tabs>
        <w:spacing w:line="360" w:lineRule="auto"/>
        <w:jc w:val="left"/>
        <w:rPr>
          <w:rFonts w:ascii="宋体" w:hAnsi="宋体"/>
          <w:sz w:val="24"/>
        </w:rPr>
      </w:pPr>
      <w:r>
        <w:rPr>
          <w:rFonts w:hint="eastAsia" w:ascii="宋体" w:hAnsi="宋体"/>
          <w:sz w:val="24"/>
        </w:rPr>
        <w:tab/>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ind w:firstLine="1980" w:firstLineChars="825"/>
        <w:rPr>
          <w:rFonts w:ascii="宋体" w:hAnsi="宋体"/>
          <w:sz w:val="24"/>
        </w:rPr>
      </w:pPr>
      <w:r>
        <w:rPr>
          <w:rFonts w:ascii="宋体" w:hAnsi="宋体"/>
          <w:sz w:val="24"/>
        </w:rPr>
        <w:t>供应商：（盖单位鲜章）</w:t>
      </w:r>
    </w:p>
    <w:p>
      <w:pPr>
        <w:spacing w:line="360" w:lineRule="auto"/>
        <w:ind w:firstLine="1980" w:firstLineChars="825"/>
        <w:rPr>
          <w:rFonts w:ascii="宋体" w:hAnsi="宋体"/>
          <w:sz w:val="24"/>
        </w:rPr>
      </w:pPr>
      <w:r>
        <w:rPr>
          <w:rFonts w:ascii="宋体" w:hAnsi="宋体"/>
          <w:sz w:val="24"/>
        </w:rPr>
        <w:t>法定代表人：（签名或签章）</w:t>
      </w:r>
    </w:p>
    <w:p>
      <w:pPr>
        <w:spacing w:line="360" w:lineRule="auto"/>
        <w:ind w:firstLine="1980" w:firstLineChars="825"/>
        <w:jc w:val="center"/>
        <w:rPr>
          <w:rFonts w:ascii="宋体" w:hAnsi="宋体"/>
          <w:sz w:val="24"/>
        </w:rPr>
      </w:pPr>
    </w:p>
    <w:p>
      <w:pPr>
        <w:spacing w:line="360" w:lineRule="auto"/>
        <w:ind w:firstLine="2580" w:firstLineChars="1075"/>
        <w:rPr>
          <w:rFonts w:ascii="宋体" w:hAnsi="宋体"/>
          <w:sz w:val="24"/>
        </w:rPr>
      </w:pPr>
      <w:r>
        <w:rPr>
          <w:rFonts w:ascii="宋体" w:hAnsi="宋体"/>
          <w:sz w:val="24"/>
        </w:rPr>
        <w:t>年月日</w:t>
      </w:r>
    </w:p>
    <w:p>
      <w:r>
        <w:br w:type="page"/>
      </w:r>
    </w:p>
    <w:p>
      <w:pPr>
        <w:pStyle w:val="4"/>
        <w:numPr>
          <w:ilvl w:val="0"/>
          <w:numId w:val="0"/>
        </w:numPr>
        <w:spacing w:before="0"/>
        <w:ind w:left="425"/>
        <w:rPr>
          <w:rFonts w:ascii="宋体" w:hAnsi="宋体"/>
          <w:bCs w:val="0"/>
          <w:szCs w:val="28"/>
        </w:rPr>
      </w:pPr>
      <w:bookmarkStart w:id="268" w:name="_Toc18348"/>
      <w:bookmarkStart w:id="269" w:name="_Toc337822252"/>
      <w:r>
        <w:rPr>
          <w:rFonts w:hint="eastAsia" w:ascii="宋体" w:hAnsi="宋体"/>
          <w:bCs w:val="0"/>
          <w:szCs w:val="28"/>
        </w:rPr>
        <w:t>格</w:t>
      </w:r>
      <w:bookmarkStart w:id="270" w:name="_Toc7905"/>
      <w:bookmarkStart w:id="271" w:name="_Toc9586"/>
      <w:r>
        <w:rPr>
          <w:rFonts w:hint="eastAsia" w:ascii="宋体" w:hAnsi="宋体"/>
          <w:bCs w:val="0"/>
          <w:szCs w:val="28"/>
        </w:rPr>
        <w:t xml:space="preserve">式1 </w:t>
      </w:r>
      <w:r>
        <w:rPr>
          <w:rFonts w:ascii="宋体" w:hAnsi="宋体"/>
          <w:bCs w:val="0"/>
          <w:szCs w:val="28"/>
        </w:rPr>
        <w:t>磋商响应承诺书</w:t>
      </w:r>
      <w:bookmarkEnd w:id="268"/>
    </w:p>
    <w:bookmarkEnd w:id="269"/>
    <w:bookmarkEnd w:id="270"/>
    <w:bookmarkEnd w:id="271"/>
    <w:p>
      <w:pPr>
        <w:spacing w:line="360" w:lineRule="auto"/>
        <w:jc w:val="left"/>
        <w:rPr>
          <w:rFonts w:ascii="宋体" w:hAnsi="宋体"/>
          <w:szCs w:val="21"/>
          <w:u w:val="single"/>
        </w:rPr>
      </w:pPr>
      <w:r>
        <w:rPr>
          <w:rFonts w:ascii="宋体" w:hAnsi="宋体"/>
          <w:szCs w:val="21"/>
        </w:rPr>
        <w:t>致：</w:t>
      </w:r>
      <w:r>
        <w:rPr>
          <w:rFonts w:hint="eastAsia" w:ascii="宋体" w:hAnsi="宋体"/>
          <w:szCs w:val="21"/>
          <w:u w:val="single"/>
        </w:rPr>
        <w:t>云南省政府采购和出让中心</w:t>
      </w:r>
    </w:p>
    <w:p>
      <w:pPr>
        <w:spacing w:line="360" w:lineRule="auto"/>
        <w:ind w:firstLine="420" w:firstLineChars="200"/>
        <w:jc w:val="left"/>
        <w:rPr>
          <w:rFonts w:ascii="宋体" w:hAnsi="宋体"/>
          <w:szCs w:val="21"/>
        </w:rPr>
      </w:pPr>
      <w:r>
        <w:rPr>
          <w:rFonts w:ascii="宋体" w:hAnsi="宋体"/>
          <w:szCs w:val="21"/>
        </w:rPr>
        <w:t>根据贵方为</w:t>
      </w:r>
      <w:r>
        <w:rPr>
          <w:rFonts w:ascii="宋体" w:hAnsi="宋体"/>
          <w:szCs w:val="21"/>
          <w:u w:val="single"/>
        </w:rPr>
        <w:t xml:space="preserve">      （采购项目名称）       </w:t>
      </w:r>
      <w:r>
        <w:rPr>
          <w:rFonts w:ascii="宋体" w:hAnsi="宋体"/>
          <w:szCs w:val="21"/>
        </w:rPr>
        <w:t>（项目编号：）的竞争性磋商邀请，我方正式授权</w:t>
      </w:r>
      <w:r>
        <w:rPr>
          <w:rFonts w:ascii="宋体" w:hAnsi="宋体"/>
          <w:szCs w:val="21"/>
          <w:u w:val="single"/>
        </w:rPr>
        <w:t xml:space="preserve">（姓名）  </w:t>
      </w:r>
      <w:r>
        <w:rPr>
          <w:rFonts w:ascii="宋体" w:hAnsi="宋体"/>
          <w:szCs w:val="21"/>
        </w:rPr>
        <w:t>全权代表</w:t>
      </w:r>
      <w:r>
        <w:rPr>
          <w:rFonts w:ascii="宋体" w:hAnsi="宋体"/>
          <w:szCs w:val="21"/>
          <w:u w:val="single"/>
        </w:rPr>
        <w:t xml:space="preserve">  （磋商供应商全称）   </w:t>
      </w:r>
      <w:r>
        <w:rPr>
          <w:rFonts w:ascii="宋体" w:hAnsi="宋体"/>
          <w:szCs w:val="21"/>
        </w:rPr>
        <w:t>参加磋商，</w:t>
      </w:r>
      <w:r>
        <w:rPr>
          <w:rFonts w:hint="eastAsia" w:ascii="宋体" w:hAnsi="宋体"/>
          <w:szCs w:val="21"/>
        </w:rPr>
        <w:t>并提交电子响应文件打印件二份，光盘一份。</w:t>
      </w:r>
    </w:p>
    <w:p>
      <w:pPr>
        <w:spacing w:line="360" w:lineRule="auto"/>
        <w:ind w:firstLine="420" w:firstLineChars="200"/>
        <w:jc w:val="left"/>
        <w:rPr>
          <w:rFonts w:ascii="宋体" w:hAnsi="宋体"/>
          <w:szCs w:val="21"/>
        </w:rPr>
      </w:pPr>
      <w:r>
        <w:rPr>
          <w:rFonts w:ascii="宋体" w:hAnsi="宋体"/>
          <w:szCs w:val="21"/>
        </w:rPr>
        <w:t>据此申请书，兹宣布同意如下：</w:t>
      </w:r>
    </w:p>
    <w:p>
      <w:pPr>
        <w:spacing w:line="360" w:lineRule="auto"/>
        <w:ind w:firstLine="420" w:firstLineChars="200"/>
        <w:jc w:val="left"/>
        <w:rPr>
          <w:rFonts w:ascii="宋体" w:hAnsi="宋体"/>
          <w:szCs w:val="21"/>
        </w:rPr>
      </w:pPr>
      <w:r>
        <w:rPr>
          <w:rFonts w:ascii="宋体" w:hAnsi="宋体"/>
          <w:szCs w:val="21"/>
        </w:rPr>
        <w:t>1. 按磋商文件</w:t>
      </w:r>
      <w:r>
        <w:rPr>
          <w:rFonts w:hint="eastAsia" w:ascii="宋体" w:hAnsi="宋体"/>
          <w:szCs w:val="21"/>
        </w:rPr>
        <w:t>服务需求</w:t>
      </w:r>
      <w:r>
        <w:rPr>
          <w:rFonts w:ascii="宋体" w:hAnsi="宋体"/>
          <w:szCs w:val="21"/>
        </w:rPr>
        <w:t>和报价表，总报价为人民币（大写）</w:t>
      </w:r>
      <w:r>
        <w:rPr>
          <w:rFonts w:hint="eastAsia" w:ascii="宋体" w:hAnsi="宋体"/>
          <w:szCs w:val="21"/>
          <w:u w:val="single"/>
        </w:rPr>
        <w:t xml:space="preserve">          </w:t>
      </w:r>
      <w:r>
        <w:rPr>
          <w:rFonts w:ascii="宋体" w:hAnsi="宋体"/>
          <w:szCs w:val="21"/>
        </w:rPr>
        <w:t>元（￥</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元</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2. 我方同意在《供应商须知》规定的递交响应文件截止日期起遵循本磋商文件，并在《供应商须知》第11条规定的有效期满之前均具有约束力。如果我方报价被接受，则至合同履行完毕、</w:t>
      </w:r>
      <w:r>
        <w:rPr>
          <w:rFonts w:hint="eastAsia" w:ascii="宋体" w:hAnsi="宋体"/>
          <w:szCs w:val="21"/>
        </w:rPr>
        <w:t>服务</w:t>
      </w:r>
      <w:r>
        <w:rPr>
          <w:rFonts w:ascii="宋体" w:hAnsi="宋体"/>
          <w:szCs w:val="21"/>
        </w:rPr>
        <w:t>期满为止，本承诺书保持有效。如果在磋商文件有效期内撤回磋商申请或者有其他违约行为，我方的保证金可被贵方全部或部分没收。</w:t>
      </w:r>
    </w:p>
    <w:p>
      <w:pPr>
        <w:spacing w:line="360" w:lineRule="auto"/>
        <w:ind w:firstLine="420" w:firstLineChars="200"/>
        <w:jc w:val="left"/>
        <w:rPr>
          <w:rFonts w:ascii="宋体" w:hAnsi="宋体"/>
          <w:szCs w:val="21"/>
        </w:rPr>
      </w:pPr>
      <w:r>
        <w:rPr>
          <w:rFonts w:ascii="宋体" w:hAnsi="宋体"/>
          <w:szCs w:val="21"/>
        </w:rPr>
        <w:t>3. 我方承诺已经具备《中华人民共和国政府采购法》中规定的参加政府采购活动的供应商应当具备的条件。</w:t>
      </w:r>
    </w:p>
    <w:p>
      <w:pPr>
        <w:spacing w:line="360" w:lineRule="auto"/>
        <w:ind w:firstLine="420" w:firstLineChars="200"/>
        <w:jc w:val="left"/>
        <w:rPr>
          <w:rFonts w:ascii="宋体" w:hAnsi="宋体"/>
          <w:szCs w:val="21"/>
        </w:rPr>
      </w:pPr>
      <w:r>
        <w:rPr>
          <w:rFonts w:ascii="宋体" w:hAnsi="宋体"/>
          <w:szCs w:val="21"/>
        </w:rPr>
        <w:t>4. 我方承诺严格遵守磋商文件中的各项要求及合同条款，并在服务期限内承担合同规定的责任义务。</w:t>
      </w:r>
    </w:p>
    <w:p>
      <w:pPr>
        <w:spacing w:line="360" w:lineRule="auto"/>
        <w:ind w:firstLine="420" w:firstLineChars="200"/>
        <w:jc w:val="left"/>
        <w:rPr>
          <w:rFonts w:ascii="宋体" w:hAnsi="宋体"/>
          <w:szCs w:val="21"/>
        </w:rPr>
      </w:pPr>
      <w:r>
        <w:rPr>
          <w:rFonts w:ascii="宋体" w:hAnsi="宋体"/>
          <w:szCs w:val="21"/>
        </w:rPr>
        <w:t>5. 同意应贵方要求提供与本次磋商有关的任何数据和资料，并保证数据和资料的完整性和真实性，若有违反，我方愿意承担一切后果。若贵方需要，我方愿意提供我方作出的一切承诺的证明材料。</w:t>
      </w:r>
    </w:p>
    <w:p>
      <w:pPr>
        <w:spacing w:line="360" w:lineRule="auto"/>
        <w:ind w:firstLine="420" w:firstLineChars="200"/>
        <w:jc w:val="left"/>
        <w:rPr>
          <w:rFonts w:ascii="宋体" w:hAnsi="宋体"/>
          <w:szCs w:val="21"/>
        </w:rPr>
      </w:pPr>
      <w:r>
        <w:rPr>
          <w:rFonts w:ascii="宋体" w:hAnsi="宋体"/>
          <w:szCs w:val="21"/>
        </w:rPr>
        <w:t>6. 我方完全理解贵方不一定要接受最低报价的磋商供应商为成交</w:t>
      </w:r>
      <w:r>
        <w:rPr>
          <w:rFonts w:hint="eastAsia" w:ascii="宋体" w:hAnsi="宋体"/>
          <w:szCs w:val="21"/>
        </w:rPr>
        <w:t>供应商</w:t>
      </w:r>
      <w:r>
        <w:rPr>
          <w:rFonts w:ascii="宋体" w:hAnsi="宋体"/>
          <w:szCs w:val="21"/>
        </w:rPr>
        <w:t>的行为。</w:t>
      </w:r>
    </w:p>
    <w:p>
      <w:pPr>
        <w:spacing w:line="360" w:lineRule="auto"/>
        <w:ind w:firstLine="420" w:firstLineChars="200"/>
        <w:jc w:val="left"/>
        <w:rPr>
          <w:rFonts w:ascii="宋体" w:hAnsi="宋体"/>
          <w:szCs w:val="21"/>
        </w:rPr>
      </w:pPr>
      <w:r>
        <w:rPr>
          <w:rFonts w:ascii="宋体" w:hAnsi="宋体"/>
          <w:szCs w:val="21"/>
        </w:rPr>
        <w:t>与本次磋商有关的正式通讯地址为：</w:t>
      </w:r>
    </w:p>
    <w:p>
      <w:pPr>
        <w:spacing w:line="360" w:lineRule="auto"/>
        <w:ind w:firstLine="420" w:firstLineChars="200"/>
        <w:jc w:val="left"/>
        <w:rPr>
          <w:rFonts w:ascii="宋体" w:hAnsi="宋体"/>
          <w:szCs w:val="21"/>
          <w:u w:val="single"/>
        </w:rPr>
      </w:pPr>
      <w:r>
        <w:rPr>
          <w:rFonts w:ascii="宋体" w:hAnsi="宋体"/>
          <w:szCs w:val="21"/>
        </w:rPr>
        <w:t>地    址： 邮政编码：</w:t>
      </w:r>
    </w:p>
    <w:p>
      <w:pPr>
        <w:spacing w:line="360" w:lineRule="auto"/>
        <w:ind w:firstLine="420" w:firstLineChars="200"/>
        <w:jc w:val="left"/>
        <w:rPr>
          <w:rFonts w:ascii="宋体" w:hAnsi="宋体"/>
          <w:szCs w:val="21"/>
        </w:rPr>
      </w:pPr>
      <w:r>
        <w:rPr>
          <w:rFonts w:ascii="宋体" w:hAnsi="宋体"/>
          <w:szCs w:val="21"/>
        </w:rPr>
        <w:t>电    话：传    真：</w:t>
      </w:r>
      <w:r>
        <w:rPr>
          <w:rFonts w:ascii="宋体" w:hAnsi="宋体"/>
          <w:szCs w:val="21"/>
          <w:u w:val="single"/>
        </w:rPr>
        <w:t>　　　　　　　　</w:t>
      </w:r>
    </w:p>
    <w:p>
      <w:pPr>
        <w:spacing w:line="360" w:lineRule="auto"/>
        <w:ind w:firstLine="420" w:firstLineChars="200"/>
        <w:jc w:val="left"/>
        <w:rPr>
          <w:rFonts w:ascii="宋体" w:hAnsi="宋体"/>
          <w:szCs w:val="21"/>
          <w:u w:val="single"/>
        </w:rPr>
      </w:pPr>
      <w:r>
        <w:rPr>
          <w:rFonts w:ascii="宋体" w:hAnsi="宋体"/>
          <w:szCs w:val="21"/>
        </w:rPr>
        <w:t>开户名称：</w:t>
      </w:r>
    </w:p>
    <w:p>
      <w:pPr>
        <w:spacing w:line="360" w:lineRule="auto"/>
        <w:ind w:firstLine="420" w:firstLineChars="200"/>
        <w:jc w:val="left"/>
        <w:rPr>
          <w:rFonts w:ascii="宋体" w:hAnsi="宋体"/>
          <w:szCs w:val="21"/>
          <w:u w:val="single"/>
        </w:rPr>
      </w:pPr>
      <w:r>
        <w:rPr>
          <w:rFonts w:ascii="宋体" w:hAnsi="宋体"/>
          <w:szCs w:val="21"/>
        </w:rPr>
        <w:t>开户银行：</w:t>
      </w:r>
    </w:p>
    <w:p>
      <w:pPr>
        <w:spacing w:line="360" w:lineRule="auto"/>
        <w:ind w:firstLine="420" w:firstLineChars="200"/>
        <w:jc w:val="left"/>
        <w:rPr>
          <w:rFonts w:ascii="宋体" w:hAnsi="宋体"/>
          <w:szCs w:val="21"/>
          <w:u w:val="single"/>
        </w:rPr>
      </w:pPr>
      <w:r>
        <w:rPr>
          <w:rFonts w:ascii="宋体" w:hAnsi="宋体"/>
          <w:szCs w:val="21"/>
        </w:rPr>
        <w:t>帐    号：</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szCs w:val="21"/>
        </w:rPr>
      </w:pPr>
      <w:r>
        <w:rPr>
          <w:rFonts w:hint="eastAsia" w:ascii="宋体" w:hAnsi="宋体"/>
          <w:szCs w:val="21"/>
        </w:rPr>
        <w:t>供应商：</w:t>
      </w:r>
      <w:r>
        <w:rPr>
          <w:rFonts w:ascii="宋体" w:hAnsi="宋体"/>
          <w:szCs w:val="21"/>
          <w:u w:val="single"/>
        </w:rPr>
        <w:t>（全称）</w:t>
      </w:r>
      <w:r>
        <w:rPr>
          <w:rFonts w:ascii="宋体" w:hAnsi="宋体"/>
          <w:szCs w:val="21"/>
        </w:rPr>
        <w:t>（</w:t>
      </w:r>
      <w:r>
        <w:rPr>
          <w:rFonts w:hint="eastAsia" w:ascii="宋体" w:hAnsi="宋体"/>
          <w:szCs w:val="21"/>
        </w:rPr>
        <w:t>盖单位鲜章</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法定代表人：（</w:t>
      </w:r>
      <w:r>
        <w:rPr>
          <w:rFonts w:hint="eastAsia" w:ascii="宋体" w:hAnsi="宋体"/>
          <w:szCs w:val="21"/>
        </w:rPr>
        <w:t>签名或签章</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日期：年月日</w:t>
      </w:r>
    </w:p>
    <w:p>
      <w:pPr>
        <w:spacing w:line="360" w:lineRule="auto"/>
        <w:ind w:firstLine="420" w:firstLineChars="200"/>
        <w:jc w:val="left"/>
        <w:rPr>
          <w:rFonts w:ascii="宋体" w:hAnsi="宋体"/>
          <w:szCs w:val="21"/>
          <w:u w:val="single"/>
        </w:rPr>
      </w:pPr>
      <w:r>
        <w:rPr>
          <w:rFonts w:hint="eastAsia"/>
          <w:b/>
          <w:szCs w:val="21"/>
        </w:rPr>
        <w:t xml:space="preserve">说明：★1. </w:t>
      </w:r>
      <w:r>
        <w:rPr>
          <w:b/>
        </w:rPr>
        <w:t>未填写本表格的供应商将不能通过</w:t>
      </w:r>
      <w:r>
        <w:rPr>
          <w:rFonts w:hint="eastAsia"/>
          <w:b/>
        </w:rPr>
        <w:t>符合性审查</w:t>
      </w:r>
      <w:r>
        <w:rPr>
          <w:b/>
        </w:rPr>
        <w:t>。</w:t>
      </w:r>
    </w:p>
    <w:p>
      <w:pPr>
        <w:spacing w:line="360" w:lineRule="auto"/>
        <w:ind w:firstLine="1215" w:firstLineChars="579"/>
        <w:rPr>
          <w:rFonts w:ascii="宋体" w:hAnsi="宋体"/>
          <w:b/>
          <w:szCs w:val="21"/>
        </w:rPr>
      </w:pPr>
      <w:r>
        <w:rPr>
          <w:rFonts w:hint="eastAsia" w:ascii="宋体" w:hAnsi="宋体"/>
          <w:b/>
          <w:szCs w:val="21"/>
        </w:rPr>
        <w:t>2.</w:t>
      </w:r>
      <w:r>
        <w:rPr>
          <w:rFonts w:ascii="宋体" w:hAnsi="宋体"/>
          <w:b/>
          <w:szCs w:val="21"/>
        </w:rPr>
        <w:t>本承诺函内容不得擅自修改。</w:t>
      </w:r>
    </w:p>
    <w:p>
      <w:pPr>
        <w:rPr>
          <w:rFonts w:ascii="宋体" w:hAnsi="宋体"/>
        </w:rPr>
      </w:pPr>
      <w:r>
        <w:rPr>
          <w:rFonts w:ascii="宋体" w:hAnsi="宋体"/>
        </w:rPr>
        <w:br w:type="page"/>
      </w:r>
    </w:p>
    <w:p>
      <w:pPr>
        <w:pStyle w:val="4"/>
        <w:numPr>
          <w:ilvl w:val="0"/>
          <w:numId w:val="0"/>
        </w:numPr>
        <w:spacing w:before="0"/>
        <w:ind w:left="1021"/>
        <w:rPr>
          <w:bCs w:val="0"/>
          <w:color w:val="000000"/>
        </w:rPr>
      </w:pPr>
      <w:bookmarkStart w:id="272" w:name="_Toc15496"/>
      <w:r>
        <w:rPr>
          <w:rFonts w:hint="eastAsia" w:ascii="宋体" w:hAnsi="宋体"/>
          <w:bCs w:val="0"/>
          <w:szCs w:val="28"/>
        </w:rPr>
        <w:t>格</w:t>
      </w:r>
      <w:bookmarkStart w:id="273" w:name="_Toc5951"/>
      <w:bookmarkStart w:id="274" w:name="_Toc16735"/>
      <w:bookmarkStart w:id="275" w:name="_Toc444606624"/>
      <w:r>
        <w:rPr>
          <w:rFonts w:hint="eastAsia" w:ascii="宋体" w:hAnsi="宋体"/>
          <w:bCs w:val="0"/>
          <w:szCs w:val="28"/>
        </w:rPr>
        <w:t>式2</w:t>
      </w:r>
      <w:r>
        <w:rPr>
          <w:rFonts w:hint="eastAsia" w:ascii="Times New Roman" w:hAnsi="Times New Roman"/>
          <w:bCs w:val="0"/>
          <w:color w:val="000000"/>
          <w:sz w:val="32"/>
        </w:rPr>
        <w:t>分</w:t>
      </w:r>
      <w:bookmarkEnd w:id="273"/>
      <w:bookmarkEnd w:id="274"/>
      <w:bookmarkEnd w:id="275"/>
      <w:r>
        <w:rPr>
          <w:rFonts w:hint="eastAsia" w:ascii="Times New Roman" w:hAnsi="Times New Roman"/>
          <w:bCs w:val="0"/>
          <w:color w:val="000000"/>
          <w:sz w:val="32"/>
        </w:rPr>
        <w:t>项报价表</w:t>
      </w:r>
      <w:bookmarkEnd w:id="272"/>
    </w:p>
    <w:p>
      <w:pPr>
        <w:spacing w:line="360" w:lineRule="auto"/>
        <w:rPr>
          <w:rFonts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spacing w:line="360" w:lineRule="auto"/>
        <w:rPr>
          <w:rFonts w:ascii="宋体" w:hAnsi="宋体" w:cs="宋体"/>
          <w:color w:val="000000"/>
          <w:szCs w:val="21"/>
        </w:rPr>
      </w:pPr>
      <w:r>
        <w:rPr>
          <w:rFonts w:hint="eastAsia" w:ascii="宋体" w:hAnsi="宋体" w:cs="宋体"/>
          <w:color w:val="000000"/>
          <w:szCs w:val="21"/>
        </w:rPr>
        <w:t>项目编号：</w:t>
      </w:r>
      <w:r>
        <w:rPr>
          <w:rFonts w:hint="eastAsia" w:ascii="宋体" w:hAnsi="宋体" w:cs="宋体"/>
          <w:color w:val="000000"/>
          <w:szCs w:val="21"/>
          <w:u w:val="single"/>
        </w:rPr>
        <w:t xml:space="preserve">                     </w:t>
      </w:r>
    </w:p>
    <w:tbl>
      <w:tblPr>
        <w:tblStyle w:val="32"/>
        <w:tblW w:w="10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410"/>
        <w:gridCol w:w="1559"/>
        <w:gridCol w:w="1134"/>
        <w:gridCol w:w="1134"/>
        <w:gridCol w:w="1276"/>
        <w:gridCol w:w="1276"/>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r>
              <w:rPr>
                <w:rFonts w:hint="eastAsia" w:hAnsi="宋体" w:cs="宋体"/>
                <w:color w:val="000000"/>
                <w:sz w:val="21"/>
                <w:szCs w:val="21"/>
              </w:rPr>
              <w:t>序号</w:t>
            </w:r>
          </w:p>
        </w:tc>
        <w:tc>
          <w:tcPr>
            <w:tcW w:w="2410"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r>
              <w:rPr>
                <w:rFonts w:hint="eastAsia" w:hAnsi="宋体" w:cs="宋体"/>
                <w:color w:val="000000"/>
                <w:sz w:val="21"/>
                <w:szCs w:val="21"/>
              </w:rPr>
              <w:t>服务名称</w:t>
            </w:r>
          </w:p>
        </w:tc>
        <w:tc>
          <w:tcPr>
            <w:tcW w:w="1559"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r>
              <w:rPr>
                <w:rFonts w:hint="eastAsia" w:hAnsi="宋体" w:cs="宋体"/>
                <w:color w:val="000000"/>
                <w:sz w:val="21"/>
                <w:szCs w:val="21"/>
              </w:rPr>
              <w:t>服务期限</w:t>
            </w:r>
          </w:p>
        </w:tc>
        <w:tc>
          <w:tcPr>
            <w:tcW w:w="1134"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r>
              <w:rPr>
                <w:rFonts w:hint="eastAsia" w:hAnsi="宋体" w:cs="宋体"/>
                <w:color w:val="000000"/>
                <w:sz w:val="21"/>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r>
              <w:rPr>
                <w:rFonts w:hint="eastAsia" w:hAnsi="宋体" w:cs="宋体"/>
                <w:color w:val="000000"/>
                <w:sz w:val="21"/>
                <w:szCs w:val="21"/>
              </w:rPr>
              <w:t>单位</w:t>
            </w:r>
          </w:p>
        </w:tc>
        <w:tc>
          <w:tcPr>
            <w:tcW w:w="1276" w:type="dxa"/>
            <w:tcBorders>
              <w:top w:val="single" w:color="auto" w:sz="4" w:space="0"/>
              <w:left w:val="single" w:color="auto" w:sz="4" w:space="0"/>
              <w:bottom w:val="single" w:color="auto" w:sz="4" w:space="0"/>
              <w:right w:val="single" w:color="auto" w:sz="4" w:space="0"/>
            </w:tcBorders>
          </w:tcPr>
          <w:p>
            <w:pPr>
              <w:pStyle w:val="15"/>
              <w:jc w:val="center"/>
              <w:rPr>
                <w:rFonts w:hAnsi="宋体" w:cs="宋体"/>
                <w:color w:val="000000"/>
                <w:sz w:val="21"/>
                <w:szCs w:val="21"/>
              </w:rPr>
            </w:pPr>
            <w:r>
              <w:rPr>
                <w:rFonts w:hint="eastAsia" w:hAnsi="宋体" w:cs="宋体"/>
                <w:color w:val="000000"/>
                <w:sz w:val="21"/>
                <w:szCs w:val="21"/>
              </w:rPr>
              <w:t>单价</w:t>
            </w:r>
          </w:p>
          <w:p>
            <w:pPr>
              <w:pStyle w:val="15"/>
              <w:jc w:val="center"/>
              <w:rPr>
                <w:rFonts w:hAnsi="宋体" w:cs="宋体"/>
                <w:color w:val="000000"/>
                <w:sz w:val="21"/>
                <w:szCs w:val="21"/>
              </w:rPr>
            </w:pPr>
            <w:r>
              <w:rPr>
                <w:rFonts w:hint="eastAsia" w:hAnsi="宋体" w:cs="宋体"/>
                <w:color w:val="000000"/>
                <w:sz w:val="21"/>
                <w:szCs w:val="21"/>
              </w:rPr>
              <w:t>（元）</w:t>
            </w:r>
          </w:p>
        </w:tc>
        <w:tc>
          <w:tcPr>
            <w:tcW w:w="1276"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r>
              <w:rPr>
                <w:rFonts w:hint="eastAsia" w:hAnsi="宋体" w:cs="宋体"/>
                <w:color w:val="000000"/>
                <w:sz w:val="21"/>
                <w:szCs w:val="21"/>
              </w:rPr>
              <w:t>总价</w:t>
            </w:r>
          </w:p>
          <w:p>
            <w:pPr>
              <w:pStyle w:val="15"/>
              <w:jc w:val="center"/>
              <w:rPr>
                <w:rFonts w:hAnsi="宋体" w:cs="宋体"/>
                <w:color w:val="000000"/>
                <w:sz w:val="21"/>
                <w:szCs w:val="21"/>
              </w:rPr>
            </w:pPr>
            <w:r>
              <w:rPr>
                <w:rFonts w:hint="eastAsia" w:hAnsi="宋体" w:cs="宋体"/>
                <w:color w:val="000000"/>
                <w:sz w:val="21"/>
                <w:szCs w:val="21"/>
              </w:rPr>
              <w:t>（元）</w:t>
            </w:r>
          </w:p>
        </w:tc>
        <w:tc>
          <w:tcPr>
            <w:tcW w:w="940" w:type="dxa"/>
            <w:tcBorders>
              <w:top w:val="single" w:color="auto" w:sz="4" w:space="0"/>
              <w:left w:val="single" w:color="auto" w:sz="4" w:space="0"/>
              <w:bottom w:val="single" w:color="auto" w:sz="4" w:space="0"/>
              <w:right w:val="single" w:color="auto" w:sz="4" w:space="0"/>
            </w:tcBorders>
            <w:vAlign w:val="center"/>
          </w:tcPr>
          <w:p>
            <w:pPr>
              <w:pStyle w:val="15"/>
              <w:ind w:left="72"/>
              <w:jc w:val="center"/>
              <w:rPr>
                <w:rFonts w:hAnsi="宋体" w:cs="宋体"/>
                <w:b/>
                <w:bCs/>
                <w:color w:val="000000"/>
                <w:sz w:val="21"/>
                <w:szCs w:val="21"/>
              </w:rPr>
            </w:pPr>
            <w:r>
              <w:rPr>
                <w:rFonts w:hint="eastAsia" w:hAnsi="宋体" w:cs="宋体"/>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p>
        </w:tc>
        <w:tc>
          <w:tcPr>
            <w:tcW w:w="1559" w:type="dxa"/>
            <w:vMerge w:val="restart"/>
            <w:tcBorders>
              <w:top w:val="single" w:color="auto" w:sz="4" w:space="0"/>
              <w:left w:val="single" w:color="auto" w:sz="4" w:space="0"/>
              <w:right w:val="single" w:color="auto" w:sz="4" w:space="0"/>
            </w:tcBorders>
            <w:vAlign w:val="center"/>
          </w:tcPr>
          <w:p>
            <w:pPr>
              <w:pStyle w:val="15"/>
              <w:jc w:val="center"/>
              <w:rPr>
                <w:rFonts w:hAnsi="宋体" w:cs="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2</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Cs w:val="21"/>
              </w:rPr>
            </w:pPr>
          </w:p>
        </w:tc>
        <w:tc>
          <w:tcPr>
            <w:tcW w:w="1559" w:type="dxa"/>
            <w:vMerge w:val="continue"/>
            <w:tcBorders>
              <w:top w:val="single" w:color="auto" w:sz="4" w:space="0"/>
              <w:left w:val="single" w:color="auto" w:sz="4" w:space="0"/>
              <w:right w:val="single" w:color="auto" w:sz="4" w:space="0"/>
            </w:tcBorders>
            <w:vAlign w:val="center"/>
          </w:tcPr>
          <w:p>
            <w:pPr>
              <w:pStyle w:val="15"/>
              <w:jc w:val="center"/>
              <w:rPr>
                <w:rFonts w:hAnsi="宋体" w:cs="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3</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Cs w:val="21"/>
              </w:rPr>
            </w:pPr>
          </w:p>
        </w:tc>
        <w:tc>
          <w:tcPr>
            <w:tcW w:w="1559" w:type="dxa"/>
            <w:vMerge w:val="continue"/>
            <w:tcBorders>
              <w:top w:val="single" w:color="auto" w:sz="4" w:space="0"/>
              <w:left w:val="single" w:color="auto" w:sz="4" w:space="0"/>
              <w:right w:val="single" w:color="auto" w:sz="4" w:space="0"/>
            </w:tcBorders>
            <w:vAlign w:val="center"/>
          </w:tcPr>
          <w:p>
            <w:pPr>
              <w:pStyle w:val="15"/>
              <w:jc w:val="center"/>
              <w:rPr>
                <w:rFonts w:hAnsi="宋体" w:cs="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4</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Cs w:val="21"/>
              </w:rPr>
            </w:pPr>
          </w:p>
        </w:tc>
        <w:tc>
          <w:tcPr>
            <w:tcW w:w="1559" w:type="dxa"/>
            <w:vMerge w:val="continue"/>
            <w:tcBorders>
              <w:top w:val="single" w:color="auto" w:sz="4" w:space="0"/>
              <w:left w:val="single" w:color="auto" w:sz="4" w:space="0"/>
              <w:right w:val="single" w:color="auto" w:sz="4" w:space="0"/>
            </w:tcBorders>
            <w:vAlign w:val="center"/>
          </w:tcPr>
          <w:p>
            <w:pPr>
              <w:pStyle w:val="15"/>
              <w:jc w:val="center"/>
              <w:rPr>
                <w:rFonts w:hAnsi="宋体" w:cs="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5</w:t>
            </w:r>
          </w:p>
        </w:tc>
        <w:tc>
          <w:tcPr>
            <w:tcW w:w="241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Cs w:val="21"/>
              </w:rPr>
            </w:pPr>
          </w:p>
        </w:tc>
        <w:tc>
          <w:tcPr>
            <w:tcW w:w="1559" w:type="dxa"/>
            <w:vMerge w:val="continue"/>
            <w:tcBorders>
              <w:top w:val="single" w:color="auto" w:sz="4" w:space="0"/>
              <w:left w:val="single" w:color="auto" w:sz="4" w:space="0"/>
              <w:right w:val="single" w:color="auto" w:sz="4" w:space="0"/>
            </w:tcBorders>
            <w:vAlign w:val="center"/>
          </w:tcPr>
          <w:p>
            <w:pPr>
              <w:pStyle w:val="15"/>
              <w:jc w:val="center"/>
              <w:rPr>
                <w:rFonts w:hAnsi="宋体" w:cs="宋体"/>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8315" w:type="dxa"/>
            <w:gridSpan w:val="6"/>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r>
              <w:rPr>
                <w:rFonts w:hint="eastAsia" w:hAnsi="宋体" w:cs="宋体"/>
                <w:color w:val="000000"/>
                <w:sz w:val="21"/>
                <w:szCs w:val="21"/>
              </w:rPr>
              <w:t>合计</w:t>
            </w:r>
          </w:p>
        </w:tc>
        <w:tc>
          <w:tcPr>
            <w:tcW w:w="2216" w:type="dxa"/>
            <w:gridSpan w:val="2"/>
            <w:tcBorders>
              <w:top w:val="single" w:color="auto" w:sz="4" w:space="0"/>
              <w:left w:val="single" w:color="auto" w:sz="4" w:space="0"/>
              <w:bottom w:val="single" w:color="auto" w:sz="4" w:space="0"/>
              <w:right w:val="single" w:color="auto" w:sz="4" w:space="0"/>
            </w:tcBorders>
            <w:vAlign w:val="center"/>
          </w:tcPr>
          <w:p>
            <w:pPr>
              <w:pStyle w:val="15"/>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8315" w:type="dxa"/>
            <w:gridSpan w:val="6"/>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color w:val="000000"/>
                <w:sz w:val="21"/>
                <w:szCs w:val="21"/>
              </w:rPr>
            </w:pPr>
            <w:r>
              <w:rPr>
                <w:rFonts w:hint="eastAsia" w:hAnsi="宋体" w:cs="宋体"/>
                <w:color w:val="000000"/>
                <w:sz w:val="21"/>
                <w:szCs w:val="21"/>
              </w:rPr>
              <w:t>服务地点</w:t>
            </w:r>
          </w:p>
        </w:tc>
        <w:tc>
          <w:tcPr>
            <w:tcW w:w="2216" w:type="dxa"/>
            <w:gridSpan w:val="2"/>
            <w:tcBorders>
              <w:top w:val="single" w:color="auto" w:sz="4" w:space="0"/>
              <w:left w:val="single" w:color="auto" w:sz="4" w:space="0"/>
              <w:bottom w:val="single" w:color="auto" w:sz="4" w:space="0"/>
              <w:right w:val="single" w:color="auto" w:sz="4" w:space="0"/>
            </w:tcBorders>
            <w:vAlign w:val="center"/>
          </w:tcPr>
          <w:p>
            <w:pPr>
              <w:pStyle w:val="15"/>
              <w:rPr>
                <w:rFonts w:hAnsi="宋体" w:cs="宋体"/>
                <w:color w:val="000000"/>
                <w:sz w:val="21"/>
                <w:szCs w:val="21"/>
              </w:rPr>
            </w:pPr>
          </w:p>
        </w:tc>
      </w:tr>
    </w:tbl>
    <w:p>
      <w:pPr>
        <w:spacing w:line="360" w:lineRule="auto"/>
        <w:ind w:firstLine="2" w:firstLineChars="1"/>
        <w:rPr>
          <w:rFonts w:ascii="宋体" w:hAnsi="宋体"/>
          <w:color w:val="000000" w:themeColor="text1"/>
          <w:szCs w:val="21"/>
          <w14:textFill>
            <w14:solidFill>
              <w14:schemeClr w14:val="tx1"/>
            </w14:solidFill>
          </w14:textFill>
        </w:rPr>
      </w:pPr>
    </w:p>
    <w:p>
      <w:pPr>
        <w:spacing w:line="360" w:lineRule="auto"/>
        <w:ind w:firstLine="2" w:firstLineChars="1"/>
        <w:rPr>
          <w:rFonts w:ascii="宋体" w:hAnsi="宋体"/>
          <w:szCs w:val="21"/>
        </w:rPr>
      </w:pPr>
      <w:r>
        <w:rPr>
          <w:rFonts w:ascii="宋体" w:hAnsi="宋体"/>
          <w:szCs w:val="21"/>
        </w:rPr>
        <w:t>供应商：（盖单位鲜章）</w:t>
      </w:r>
    </w:p>
    <w:p>
      <w:pPr>
        <w:spacing w:line="360" w:lineRule="auto"/>
        <w:ind w:firstLine="2" w:firstLineChars="1"/>
        <w:rPr>
          <w:rFonts w:ascii="宋体" w:hAnsi="宋体"/>
          <w:szCs w:val="21"/>
        </w:rPr>
      </w:pPr>
      <w:r>
        <w:rPr>
          <w:rFonts w:ascii="宋体" w:hAnsi="宋体"/>
          <w:szCs w:val="21"/>
        </w:rPr>
        <w:t>法定代表人：（签名或签章）</w:t>
      </w:r>
    </w:p>
    <w:p>
      <w:pPr>
        <w:spacing w:line="360" w:lineRule="auto"/>
        <w:ind w:firstLine="420" w:firstLineChars="200"/>
        <w:rPr>
          <w:rFonts w:ascii="宋体" w:hAnsi="宋体"/>
          <w:szCs w:val="21"/>
        </w:rPr>
      </w:pP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pPr>
        <w:spacing w:line="360" w:lineRule="auto"/>
        <w:ind w:firstLine="2" w:firstLineChars="1"/>
        <w:rPr>
          <w:rFonts w:ascii="宋体" w:hAnsi="宋体"/>
          <w:color w:val="000000"/>
          <w:sz w:val="20"/>
          <w:szCs w:val="21"/>
        </w:rPr>
      </w:pPr>
      <w:r>
        <w:rPr>
          <w:rFonts w:hint="eastAsia" w:ascii="宋体" w:hAnsi="宋体"/>
          <w:b/>
          <w:color w:val="000000"/>
          <w:sz w:val="20"/>
          <w:szCs w:val="21"/>
        </w:rPr>
        <w:t xml:space="preserve">1. </w:t>
      </w:r>
      <w:r>
        <w:rPr>
          <w:rFonts w:hint="eastAsia" w:ascii="宋体" w:hAnsi="宋体"/>
          <w:b/>
          <w:bCs/>
          <w:color w:val="000000"/>
          <w:szCs w:val="21"/>
        </w:rPr>
        <w:t>★</w:t>
      </w:r>
      <w:r>
        <w:rPr>
          <w:rFonts w:hint="eastAsia" w:ascii="宋体" w:hAnsi="宋体"/>
          <w:b/>
          <w:color w:val="000000"/>
          <w:kern w:val="0"/>
          <w:sz w:val="20"/>
          <w:szCs w:val="21"/>
        </w:rPr>
        <w:t>未填写本表格的供应商将不能通过符合性审查。</w:t>
      </w:r>
    </w:p>
    <w:p>
      <w:pPr>
        <w:spacing w:line="360" w:lineRule="auto"/>
        <w:ind w:firstLine="2" w:firstLineChars="1"/>
        <w:rPr>
          <w:rFonts w:ascii="宋体" w:hAnsi="宋体" w:cs="宋体"/>
          <w:b/>
          <w:sz w:val="20"/>
          <w:szCs w:val="20"/>
        </w:rPr>
      </w:pPr>
      <w:r>
        <w:rPr>
          <w:rFonts w:hint="eastAsia" w:ascii="宋体" w:hAnsi="宋体" w:cs="宋体"/>
          <w:b/>
          <w:sz w:val="20"/>
          <w:szCs w:val="20"/>
        </w:rPr>
        <w:t>2.</w:t>
      </w:r>
      <w:r>
        <w:rPr>
          <w:rFonts w:hint="eastAsia"/>
        </w:rPr>
        <w:t xml:space="preserve"> </w:t>
      </w:r>
      <w:r>
        <w:rPr>
          <w:rFonts w:hint="eastAsia" w:ascii="宋体" w:hAnsi="宋体" w:cs="宋体"/>
          <w:b/>
          <w:sz w:val="20"/>
          <w:szCs w:val="20"/>
        </w:rPr>
        <w:t>若服务为小微型企业（残疾人福利性单位、监狱企业）产品、服务，须按文件格式要求提供中小企业声明函（残疾人福利性单位声明函、监狱企业证明文件），否则，不予进行价格扣除。</w:t>
      </w:r>
    </w:p>
    <w:p>
      <w:pPr>
        <w:spacing w:line="360" w:lineRule="auto"/>
        <w:ind w:firstLine="2" w:firstLineChars="1"/>
        <w:rPr>
          <w:rFonts w:ascii="宋体" w:hAnsi="宋体" w:cs="宋体"/>
          <w:b/>
          <w:sz w:val="20"/>
          <w:szCs w:val="20"/>
        </w:rPr>
      </w:pPr>
      <w:r>
        <w:rPr>
          <w:rFonts w:hint="eastAsia" w:ascii="宋体" w:hAnsi="宋体" w:cs="宋体"/>
          <w:bCs/>
          <w:sz w:val="20"/>
          <w:szCs w:val="20"/>
        </w:rPr>
        <w:t>3.</w:t>
      </w:r>
      <w:r>
        <w:rPr>
          <w:rFonts w:hint="eastAsia" w:ascii="宋体" w:hAnsi="宋体" w:cs="宋体"/>
          <w:sz w:val="20"/>
          <w:szCs w:val="20"/>
        </w:rPr>
        <w:t>报价为服务费，即为包干制费用，包含人员全部工资薪金、劳保福利、国家规定购买的各项保险、乙方需要上交的税金、管理费、装具费、人员服装等基本装备费用，以及其他相关费用</w:t>
      </w:r>
      <w:r>
        <w:rPr>
          <w:rFonts w:hint="eastAsia" w:ascii="宋体" w:hAnsi="宋体" w:cs="宋体"/>
          <w:bCs/>
          <w:sz w:val="20"/>
          <w:szCs w:val="20"/>
        </w:rPr>
        <w:t>。</w:t>
      </w:r>
    </w:p>
    <w:p>
      <w:pPr>
        <w:spacing w:line="360" w:lineRule="auto"/>
        <w:rPr>
          <w:rFonts w:ascii="宋体" w:hAnsi="宋体"/>
          <w:color w:val="000000"/>
          <w:szCs w:val="21"/>
        </w:rPr>
      </w:pPr>
      <w:r>
        <w:rPr>
          <w:rFonts w:hint="eastAsia" w:ascii="宋体" w:hAnsi="宋体" w:cs="宋体"/>
          <w:sz w:val="20"/>
          <w:szCs w:val="20"/>
        </w:rPr>
        <w:t>4. 表格长度可根据需要自行调整，表中所列内容为必须填写项目，供应商可根据自身情况增加内容。</w:t>
      </w:r>
    </w:p>
    <w:p>
      <w:pPr>
        <w:spacing w:line="360" w:lineRule="auto"/>
        <w:ind w:firstLine="420" w:firstLineChars="200"/>
        <w:rPr>
          <w:rFonts w:ascii="宋体" w:hAnsi="宋体"/>
          <w:szCs w:val="21"/>
        </w:rPr>
      </w:pPr>
    </w:p>
    <w:p>
      <w:pPr>
        <w:spacing w:line="360" w:lineRule="auto"/>
        <w:ind w:firstLine="2" w:firstLineChars="1"/>
        <w:rPr>
          <w:rFonts w:ascii="宋体" w:hAnsi="宋体"/>
          <w:color w:val="000000"/>
          <w:szCs w:val="21"/>
        </w:rPr>
      </w:pPr>
    </w:p>
    <w:p>
      <w:pPr>
        <w:spacing w:line="360" w:lineRule="auto"/>
        <w:ind w:firstLine="2" w:firstLineChars="1"/>
        <w:rPr>
          <w:rFonts w:ascii="宋体" w:hAnsi="宋体"/>
          <w:color w:val="000000"/>
          <w:szCs w:val="21"/>
        </w:rPr>
      </w:pPr>
    </w:p>
    <w:p>
      <w:pPr>
        <w:spacing w:line="360" w:lineRule="auto"/>
        <w:ind w:firstLine="2" w:firstLineChars="1"/>
        <w:rPr>
          <w:rFonts w:ascii="宋体" w:hAnsi="宋体"/>
          <w:b/>
          <w:szCs w:val="21"/>
        </w:rPr>
      </w:pPr>
    </w:p>
    <w:p>
      <w:pPr>
        <w:pStyle w:val="15"/>
        <w:spacing w:line="360" w:lineRule="auto"/>
        <w:rPr>
          <w:rFonts w:hAnsi="宋体"/>
          <w:sz w:val="21"/>
          <w:szCs w:val="21"/>
        </w:rPr>
        <w:sectPr>
          <w:headerReference r:id="rId5" w:type="default"/>
          <w:footerReference r:id="rId6" w:type="default"/>
          <w:pgSz w:w="11906" w:h="16838"/>
          <w:pgMar w:top="737" w:right="1134" w:bottom="794" w:left="1191" w:header="510" w:footer="510" w:gutter="0"/>
          <w:pgNumType w:start="1"/>
          <w:cols w:space="720" w:num="1"/>
          <w:docGrid w:type="linesAndChars" w:linePitch="312" w:charSpace="0"/>
        </w:sectPr>
      </w:pPr>
    </w:p>
    <w:p>
      <w:pPr>
        <w:pStyle w:val="4"/>
        <w:numPr>
          <w:ilvl w:val="0"/>
          <w:numId w:val="0"/>
        </w:numPr>
        <w:spacing w:before="0"/>
        <w:ind w:left="425"/>
        <w:rPr>
          <w:rFonts w:ascii="宋体" w:hAnsi="宋体"/>
          <w:bCs w:val="0"/>
          <w:sz w:val="32"/>
        </w:rPr>
      </w:pPr>
      <w:bookmarkStart w:id="276" w:name="_Toc30162"/>
      <w:r>
        <w:rPr>
          <w:rFonts w:hint="eastAsia" w:ascii="宋体" w:hAnsi="宋体"/>
          <w:bCs w:val="0"/>
          <w:sz w:val="32"/>
        </w:rPr>
        <w:t>格</w:t>
      </w:r>
      <w:bookmarkStart w:id="277" w:name="_Toc337822254"/>
      <w:bookmarkStart w:id="278" w:name="_Toc30948"/>
      <w:bookmarkStart w:id="279" w:name="_Toc640"/>
      <w:r>
        <w:rPr>
          <w:rFonts w:hint="eastAsia" w:ascii="宋体" w:hAnsi="宋体"/>
          <w:bCs w:val="0"/>
          <w:sz w:val="32"/>
        </w:rPr>
        <w:t>式</w:t>
      </w:r>
      <w:r>
        <w:rPr>
          <w:rFonts w:ascii="宋体" w:hAnsi="宋体"/>
          <w:bCs w:val="0"/>
          <w:sz w:val="32"/>
        </w:rPr>
        <w:t>3</w:t>
      </w:r>
      <w:r>
        <w:rPr>
          <w:rFonts w:hint="eastAsia" w:ascii="宋体" w:hAnsi="宋体"/>
          <w:bCs w:val="0"/>
          <w:sz w:val="32"/>
        </w:rPr>
        <w:t>服务需求</w:t>
      </w:r>
      <w:r>
        <w:rPr>
          <w:rFonts w:ascii="宋体" w:hAnsi="宋体"/>
          <w:bCs w:val="0"/>
          <w:sz w:val="32"/>
        </w:rPr>
        <w:t>偏离表</w:t>
      </w:r>
      <w:bookmarkEnd w:id="276"/>
    </w:p>
    <w:bookmarkEnd w:id="277"/>
    <w:bookmarkEnd w:id="278"/>
    <w:bookmarkEnd w:id="279"/>
    <w:p>
      <w:pPr>
        <w:spacing w:line="360" w:lineRule="auto"/>
        <w:ind w:firstLine="420" w:firstLineChars="200"/>
        <w:rPr>
          <w:rFonts w:ascii="宋体" w:hAnsi="宋体"/>
        </w:rPr>
      </w:pPr>
      <w:r>
        <w:rPr>
          <w:rFonts w:ascii="宋体" w:hAnsi="宋体"/>
        </w:rPr>
        <w:t>参加磋商的供应商应按所报产品的实际技术参数，逐条对应磋商文件的第五章“</w:t>
      </w:r>
      <w:r>
        <w:rPr>
          <w:rFonts w:hint="eastAsia" w:ascii="宋体" w:hAnsi="宋体"/>
          <w:b/>
        </w:rPr>
        <w:t>服务需求</w:t>
      </w:r>
      <w:r>
        <w:rPr>
          <w:rFonts w:ascii="宋体" w:hAnsi="宋体"/>
        </w:rPr>
        <w:t>”中要求的技术规范如实、完整、准确的填写该表。</w:t>
      </w:r>
    </w:p>
    <w:p>
      <w:pPr>
        <w:spacing w:line="360" w:lineRule="auto"/>
        <w:ind w:firstLine="420" w:firstLineChars="200"/>
      </w:pPr>
      <w:r>
        <w:rPr>
          <w:rFonts w:hint="eastAsia"/>
          <w:b/>
          <w:szCs w:val="21"/>
        </w:rPr>
        <w:t>★</w:t>
      </w:r>
      <w:r>
        <w:rPr>
          <w:b/>
        </w:rPr>
        <w:t>本表格将作为磋商小组对参加磋商的供应商技术部分的评审依据，未填写本表格的供应商将不能通过</w:t>
      </w:r>
      <w:r>
        <w:rPr>
          <w:rFonts w:hint="eastAsia"/>
          <w:b/>
        </w:rPr>
        <w:t>符合性审查</w:t>
      </w:r>
      <w:r>
        <w:rPr>
          <w:b/>
        </w:rPr>
        <w:t>。</w:t>
      </w:r>
    </w:p>
    <w:p>
      <w:pPr>
        <w:spacing w:line="360" w:lineRule="auto"/>
        <w:rPr>
          <w:rFonts w:ascii="宋体" w:hAnsi="宋体"/>
          <w:u w:val="single"/>
        </w:rPr>
      </w:pPr>
      <w:r>
        <w:rPr>
          <w:rFonts w:ascii="宋体" w:hAnsi="宋体"/>
        </w:rPr>
        <w:t>项目名称：项目编号：</w:t>
      </w:r>
    </w:p>
    <w:tbl>
      <w:tblPr>
        <w:tblStyle w:val="32"/>
        <w:tblW w:w="14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26"/>
        <w:gridCol w:w="4634"/>
        <w:gridCol w:w="3762"/>
        <w:gridCol w:w="114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jc w:val="center"/>
              <w:rPr>
                <w:rFonts w:ascii="宋体" w:hAnsi="宋体"/>
              </w:rPr>
            </w:pPr>
            <w:r>
              <w:rPr>
                <w:rFonts w:ascii="宋体" w:hAnsi="宋体"/>
              </w:rPr>
              <w:t>序号</w:t>
            </w:r>
          </w:p>
        </w:tc>
        <w:tc>
          <w:tcPr>
            <w:tcW w:w="1526" w:type="dxa"/>
            <w:vAlign w:val="center"/>
          </w:tcPr>
          <w:p>
            <w:pPr>
              <w:jc w:val="center"/>
              <w:rPr>
                <w:rFonts w:ascii="宋体" w:hAnsi="宋体"/>
              </w:rPr>
            </w:pPr>
            <w:r>
              <w:rPr>
                <w:rFonts w:hint="eastAsia" w:ascii="宋体" w:hAnsi="宋体"/>
              </w:rPr>
              <w:t>项目</w:t>
            </w:r>
            <w:r>
              <w:rPr>
                <w:rFonts w:ascii="宋体" w:hAnsi="宋体"/>
              </w:rPr>
              <w:t>名称</w:t>
            </w:r>
          </w:p>
        </w:tc>
        <w:tc>
          <w:tcPr>
            <w:tcW w:w="4634" w:type="dxa"/>
            <w:vAlign w:val="center"/>
          </w:tcPr>
          <w:p>
            <w:pPr>
              <w:jc w:val="center"/>
              <w:rPr>
                <w:rFonts w:ascii="宋体" w:hAnsi="宋体"/>
              </w:rPr>
            </w:pPr>
            <w:r>
              <w:rPr>
                <w:rFonts w:ascii="宋体" w:hAnsi="宋体"/>
              </w:rPr>
              <w:t>磋商文件</w:t>
            </w:r>
            <w:r>
              <w:rPr>
                <w:rFonts w:hint="eastAsia" w:ascii="宋体" w:hAnsi="宋体" w:cs="宋体"/>
                <w:color w:val="000000"/>
              </w:rPr>
              <w:t>服务规范、要求</w:t>
            </w:r>
          </w:p>
        </w:tc>
        <w:tc>
          <w:tcPr>
            <w:tcW w:w="3762" w:type="dxa"/>
            <w:vAlign w:val="center"/>
          </w:tcPr>
          <w:p>
            <w:pPr>
              <w:jc w:val="center"/>
              <w:rPr>
                <w:rFonts w:ascii="宋体" w:hAnsi="宋体"/>
              </w:rPr>
            </w:pPr>
            <w:r>
              <w:rPr>
                <w:rFonts w:ascii="宋体" w:hAnsi="宋体"/>
              </w:rPr>
              <w:t>磋商文件</w:t>
            </w:r>
            <w:r>
              <w:rPr>
                <w:rFonts w:hint="eastAsia" w:ascii="宋体" w:hAnsi="宋体" w:cs="宋体"/>
                <w:color w:val="000000"/>
              </w:rPr>
              <w:t>服务承诺</w:t>
            </w:r>
          </w:p>
        </w:tc>
        <w:tc>
          <w:tcPr>
            <w:tcW w:w="1144" w:type="dxa"/>
            <w:vAlign w:val="center"/>
          </w:tcPr>
          <w:p>
            <w:pPr>
              <w:jc w:val="center"/>
              <w:rPr>
                <w:rFonts w:ascii="宋体" w:hAnsi="宋体"/>
              </w:rPr>
            </w:pPr>
            <w:r>
              <w:rPr>
                <w:rFonts w:ascii="宋体" w:hAnsi="宋体"/>
              </w:rPr>
              <w:t>偏离</w:t>
            </w:r>
          </w:p>
        </w:tc>
        <w:tc>
          <w:tcPr>
            <w:tcW w:w="3084" w:type="dxa"/>
            <w:vAlign w:val="center"/>
          </w:tcPr>
          <w:p>
            <w:pPr>
              <w:jc w:val="center"/>
              <w:rPr>
                <w:rFonts w:ascii="宋体" w:hAnsi="宋体"/>
              </w:rPr>
            </w:pPr>
            <w:r>
              <w:rPr>
                <w:rFonts w:ascii="宋体" w:hAnsi="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jc w:val="center"/>
              <w:rPr>
                <w:rFonts w:ascii="宋体" w:hAnsi="宋体"/>
              </w:rPr>
            </w:pPr>
          </w:p>
        </w:tc>
        <w:tc>
          <w:tcPr>
            <w:tcW w:w="1526" w:type="dxa"/>
            <w:vAlign w:val="center"/>
          </w:tcPr>
          <w:p>
            <w:pPr>
              <w:jc w:val="center"/>
              <w:rPr>
                <w:rFonts w:ascii="宋体" w:hAnsi="宋体"/>
              </w:rPr>
            </w:pPr>
          </w:p>
        </w:tc>
        <w:tc>
          <w:tcPr>
            <w:tcW w:w="4634" w:type="dxa"/>
            <w:vAlign w:val="center"/>
          </w:tcPr>
          <w:p>
            <w:pPr>
              <w:jc w:val="center"/>
              <w:rPr>
                <w:rFonts w:ascii="宋体" w:hAnsi="宋体"/>
              </w:rPr>
            </w:pPr>
          </w:p>
        </w:tc>
        <w:tc>
          <w:tcPr>
            <w:tcW w:w="3762" w:type="dxa"/>
            <w:vAlign w:val="center"/>
          </w:tcPr>
          <w:p>
            <w:pPr>
              <w:jc w:val="center"/>
              <w:rPr>
                <w:rFonts w:ascii="宋体" w:hAnsi="宋体"/>
              </w:rPr>
            </w:pPr>
          </w:p>
        </w:tc>
        <w:tc>
          <w:tcPr>
            <w:tcW w:w="1144" w:type="dxa"/>
            <w:vAlign w:val="center"/>
          </w:tcPr>
          <w:p>
            <w:pPr>
              <w:jc w:val="center"/>
              <w:rPr>
                <w:rFonts w:ascii="宋体" w:hAnsi="宋体"/>
              </w:rPr>
            </w:pPr>
          </w:p>
        </w:tc>
        <w:tc>
          <w:tcPr>
            <w:tcW w:w="308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jc w:val="center"/>
              <w:rPr>
                <w:rFonts w:ascii="宋体" w:hAnsi="宋体"/>
              </w:rPr>
            </w:pPr>
          </w:p>
        </w:tc>
        <w:tc>
          <w:tcPr>
            <w:tcW w:w="1526" w:type="dxa"/>
            <w:vAlign w:val="center"/>
          </w:tcPr>
          <w:p>
            <w:pPr>
              <w:jc w:val="center"/>
              <w:rPr>
                <w:rFonts w:ascii="宋体" w:hAnsi="宋体"/>
              </w:rPr>
            </w:pPr>
          </w:p>
        </w:tc>
        <w:tc>
          <w:tcPr>
            <w:tcW w:w="4634" w:type="dxa"/>
            <w:vAlign w:val="center"/>
          </w:tcPr>
          <w:p>
            <w:pPr>
              <w:jc w:val="center"/>
              <w:rPr>
                <w:rFonts w:ascii="宋体" w:hAnsi="宋体"/>
              </w:rPr>
            </w:pPr>
          </w:p>
        </w:tc>
        <w:tc>
          <w:tcPr>
            <w:tcW w:w="3762" w:type="dxa"/>
            <w:vAlign w:val="center"/>
          </w:tcPr>
          <w:p>
            <w:pPr>
              <w:jc w:val="center"/>
              <w:rPr>
                <w:rFonts w:ascii="宋体" w:hAnsi="宋体"/>
              </w:rPr>
            </w:pPr>
          </w:p>
        </w:tc>
        <w:tc>
          <w:tcPr>
            <w:tcW w:w="1144" w:type="dxa"/>
            <w:vAlign w:val="center"/>
          </w:tcPr>
          <w:p>
            <w:pPr>
              <w:jc w:val="center"/>
              <w:rPr>
                <w:rFonts w:ascii="宋体" w:hAnsi="宋体"/>
              </w:rPr>
            </w:pPr>
          </w:p>
        </w:tc>
        <w:tc>
          <w:tcPr>
            <w:tcW w:w="308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jc w:val="center"/>
              <w:rPr>
                <w:rFonts w:ascii="宋体" w:hAnsi="宋体"/>
              </w:rPr>
            </w:pPr>
          </w:p>
        </w:tc>
        <w:tc>
          <w:tcPr>
            <w:tcW w:w="1526" w:type="dxa"/>
            <w:vAlign w:val="center"/>
          </w:tcPr>
          <w:p>
            <w:pPr>
              <w:jc w:val="center"/>
              <w:rPr>
                <w:rFonts w:ascii="宋体" w:hAnsi="宋体"/>
              </w:rPr>
            </w:pPr>
          </w:p>
        </w:tc>
        <w:tc>
          <w:tcPr>
            <w:tcW w:w="4634" w:type="dxa"/>
            <w:vAlign w:val="center"/>
          </w:tcPr>
          <w:p>
            <w:pPr>
              <w:jc w:val="center"/>
              <w:rPr>
                <w:rFonts w:ascii="宋体" w:hAnsi="宋体"/>
              </w:rPr>
            </w:pPr>
          </w:p>
        </w:tc>
        <w:tc>
          <w:tcPr>
            <w:tcW w:w="3762" w:type="dxa"/>
            <w:vAlign w:val="center"/>
          </w:tcPr>
          <w:p>
            <w:pPr>
              <w:jc w:val="center"/>
              <w:rPr>
                <w:rFonts w:ascii="宋体" w:hAnsi="宋体"/>
              </w:rPr>
            </w:pPr>
          </w:p>
        </w:tc>
        <w:tc>
          <w:tcPr>
            <w:tcW w:w="1144" w:type="dxa"/>
            <w:vAlign w:val="center"/>
          </w:tcPr>
          <w:p>
            <w:pPr>
              <w:jc w:val="center"/>
              <w:rPr>
                <w:rFonts w:ascii="宋体" w:hAnsi="宋体"/>
              </w:rPr>
            </w:pPr>
          </w:p>
        </w:tc>
        <w:tc>
          <w:tcPr>
            <w:tcW w:w="308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jc w:val="center"/>
              <w:rPr>
                <w:rFonts w:ascii="宋体" w:hAnsi="宋体"/>
              </w:rPr>
            </w:pPr>
          </w:p>
        </w:tc>
        <w:tc>
          <w:tcPr>
            <w:tcW w:w="1526" w:type="dxa"/>
            <w:vAlign w:val="center"/>
          </w:tcPr>
          <w:p>
            <w:pPr>
              <w:jc w:val="center"/>
              <w:rPr>
                <w:rFonts w:ascii="宋体" w:hAnsi="宋体"/>
              </w:rPr>
            </w:pPr>
          </w:p>
        </w:tc>
        <w:tc>
          <w:tcPr>
            <w:tcW w:w="4634" w:type="dxa"/>
            <w:vAlign w:val="center"/>
          </w:tcPr>
          <w:p>
            <w:pPr>
              <w:jc w:val="center"/>
              <w:rPr>
                <w:rFonts w:ascii="宋体" w:hAnsi="宋体"/>
              </w:rPr>
            </w:pPr>
          </w:p>
        </w:tc>
        <w:tc>
          <w:tcPr>
            <w:tcW w:w="3762" w:type="dxa"/>
            <w:vAlign w:val="center"/>
          </w:tcPr>
          <w:p>
            <w:pPr>
              <w:jc w:val="center"/>
              <w:rPr>
                <w:rFonts w:ascii="宋体" w:hAnsi="宋体"/>
              </w:rPr>
            </w:pPr>
          </w:p>
        </w:tc>
        <w:tc>
          <w:tcPr>
            <w:tcW w:w="1144" w:type="dxa"/>
            <w:vAlign w:val="center"/>
          </w:tcPr>
          <w:p>
            <w:pPr>
              <w:jc w:val="center"/>
              <w:rPr>
                <w:rFonts w:ascii="宋体" w:hAnsi="宋体"/>
              </w:rPr>
            </w:pPr>
          </w:p>
        </w:tc>
        <w:tc>
          <w:tcPr>
            <w:tcW w:w="3084"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jc w:val="center"/>
              <w:rPr>
                <w:rFonts w:ascii="宋体" w:hAnsi="宋体"/>
              </w:rPr>
            </w:pPr>
          </w:p>
        </w:tc>
        <w:tc>
          <w:tcPr>
            <w:tcW w:w="1526" w:type="dxa"/>
            <w:vAlign w:val="center"/>
          </w:tcPr>
          <w:p>
            <w:pPr>
              <w:jc w:val="center"/>
              <w:rPr>
                <w:rFonts w:ascii="宋体" w:hAnsi="宋体"/>
              </w:rPr>
            </w:pPr>
          </w:p>
        </w:tc>
        <w:tc>
          <w:tcPr>
            <w:tcW w:w="4634" w:type="dxa"/>
            <w:vAlign w:val="center"/>
          </w:tcPr>
          <w:p>
            <w:pPr>
              <w:jc w:val="center"/>
              <w:rPr>
                <w:rFonts w:ascii="宋体" w:hAnsi="宋体"/>
              </w:rPr>
            </w:pPr>
          </w:p>
        </w:tc>
        <w:tc>
          <w:tcPr>
            <w:tcW w:w="3762" w:type="dxa"/>
            <w:vAlign w:val="center"/>
          </w:tcPr>
          <w:p>
            <w:pPr>
              <w:jc w:val="center"/>
              <w:rPr>
                <w:rFonts w:ascii="宋体" w:hAnsi="宋体"/>
              </w:rPr>
            </w:pPr>
          </w:p>
        </w:tc>
        <w:tc>
          <w:tcPr>
            <w:tcW w:w="1144" w:type="dxa"/>
            <w:vAlign w:val="center"/>
          </w:tcPr>
          <w:p>
            <w:pPr>
              <w:jc w:val="center"/>
              <w:rPr>
                <w:rFonts w:ascii="宋体" w:hAnsi="宋体"/>
              </w:rPr>
            </w:pPr>
          </w:p>
        </w:tc>
        <w:tc>
          <w:tcPr>
            <w:tcW w:w="3084" w:type="dxa"/>
            <w:vAlign w:val="center"/>
          </w:tcPr>
          <w:p>
            <w:pPr>
              <w:jc w:val="center"/>
              <w:rPr>
                <w:rFonts w:ascii="宋体" w:hAnsi="宋体"/>
              </w:rPr>
            </w:pPr>
          </w:p>
        </w:tc>
      </w:tr>
    </w:tbl>
    <w:p>
      <w:pPr>
        <w:spacing w:line="360" w:lineRule="auto"/>
        <w:ind w:firstLine="2" w:firstLineChars="1"/>
        <w:rPr>
          <w:rFonts w:ascii="宋体" w:hAnsi="宋体"/>
          <w:szCs w:val="21"/>
        </w:rPr>
      </w:pPr>
      <w:r>
        <w:rPr>
          <w:rFonts w:ascii="宋体" w:hAnsi="宋体"/>
          <w:szCs w:val="21"/>
        </w:rPr>
        <w:t>供应商：（盖单位鲜章）</w:t>
      </w:r>
    </w:p>
    <w:p>
      <w:pPr>
        <w:spacing w:line="360" w:lineRule="auto"/>
        <w:ind w:firstLine="2" w:firstLineChars="1"/>
        <w:rPr>
          <w:rFonts w:ascii="宋体" w:hAnsi="宋体"/>
          <w:szCs w:val="21"/>
        </w:rPr>
      </w:pPr>
      <w:r>
        <w:rPr>
          <w:rFonts w:ascii="宋体" w:hAnsi="宋体"/>
          <w:szCs w:val="21"/>
        </w:rPr>
        <w:t>法定代表人：（签名或签章）</w:t>
      </w:r>
    </w:p>
    <w:p>
      <w:pPr>
        <w:spacing w:line="360" w:lineRule="auto"/>
        <w:ind w:firstLine="420" w:firstLineChars="200"/>
        <w:rPr>
          <w:rFonts w:ascii="宋体" w:hAnsi="宋体"/>
          <w:szCs w:val="21"/>
        </w:rPr>
      </w:pPr>
      <w:r>
        <w:rPr>
          <w:rFonts w:ascii="宋体" w:hAnsi="宋体"/>
          <w:szCs w:val="21"/>
        </w:rPr>
        <w:t>年月日</w:t>
      </w:r>
    </w:p>
    <w:p>
      <w:pPr>
        <w:pStyle w:val="15"/>
        <w:spacing w:line="360" w:lineRule="auto"/>
        <w:rPr>
          <w:rFonts w:hAnsi="宋体"/>
          <w:b/>
        </w:rPr>
      </w:pPr>
      <w:r>
        <w:rPr>
          <w:rFonts w:hAnsi="宋体"/>
          <w:b/>
        </w:rPr>
        <w:t>表格填写说明：</w:t>
      </w:r>
    </w:p>
    <w:p>
      <w:pPr>
        <w:pStyle w:val="15"/>
        <w:rPr>
          <w:rFonts w:hAnsi="宋体"/>
          <w:b/>
          <w:color w:val="000000"/>
          <w:szCs w:val="21"/>
        </w:rPr>
      </w:pPr>
      <w:r>
        <w:rPr>
          <w:rFonts w:hint="eastAsia" w:hAnsi="宋体"/>
          <w:color w:val="000000"/>
          <w:szCs w:val="21"/>
        </w:rPr>
        <w:t>1</w:t>
      </w:r>
      <w:r>
        <w:rPr>
          <w:rFonts w:hAnsi="宋体"/>
          <w:color w:val="000000"/>
          <w:szCs w:val="21"/>
        </w:rPr>
        <w:t>、表格中“</w:t>
      </w:r>
      <w:r>
        <w:rPr>
          <w:rFonts w:hint="eastAsia" w:hAnsi="宋体"/>
          <w:color w:val="000000"/>
          <w:szCs w:val="21"/>
        </w:rPr>
        <w:t>响应文件的</w:t>
      </w:r>
      <w:r>
        <w:rPr>
          <w:rFonts w:hAnsi="宋体"/>
          <w:color w:val="000000"/>
          <w:szCs w:val="21"/>
        </w:rPr>
        <w:t>技术规范、要求”请根据实际所报</w:t>
      </w:r>
      <w:r>
        <w:rPr>
          <w:rFonts w:hint="eastAsia" w:hAnsi="宋体"/>
          <w:color w:val="000000"/>
          <w:szCs w:val="21"/>
        </w:rPr>
        <w:t>项目</w:t>
      </w:r>
      <w:r>
        <w:rPr>
          <w:rFonts w:hAnsi="宋体"/>
          <w:color w:val="000000"/>
          <w:szCs w:val="21"/>
        </w:rPr>
        <w:t>情况如实、完整、准确地填写，请勿复制、粘贴竞争性磋商文件要求。</w:t>
      </w:r>
      <w:r>
        <w:rPr>
          <w:rFonts w:hAnsi="宋体"/>
          <w:b/>
          <w:color w:val="000000"/>
          <w:szCs w:val="21"/>
        </w:rPr>
        <w:t>若由于疏忽大意或未能完整、如实填写，导致的一切后果由参加竞争性磋商的供应商自行承担。</w:t>
      </w:r>
    </w:p>
    <w:p>
      <w:pPr>
        <w:pStyle w:val="15"/>
        <w:rPr>
          <w:rFonts w:hAnsi="宋体"/>
          <w:color w:val="000000"/>
          <w:szCs w:val="21"/>
        </w:rPr>
      </w:pPr>
      <w:r>
        <w:rPr>
          <w:rFonts w:hint="eastAsia" w:hAnsi="宋体"/>
          <w:color w:val="000000"/>
          <w:szCs w:val="21"/>
        </w:rPr>
        <w:t>2</w:t>
      </w:r>
      <w:r>
        <w:rPr>
          <w:rFonts w:hAnsi="宋体"/>
          <w:color w:val="000000"/>
          <w:szCs w:val="21"/>
        </w:rPr>
        <w:t>、表格中“偏离”部分，只能如实填写“有偏离”或“无偏离”。凡响应内容与竞争性磋商文件要求有区别的均按“有偏离“填写，并在说明栏中写明技术</w:t>
      </w:r>
      <w:r>
        <w:rPr>
          <w:rFonts w:hint="eastAsia" w:hAnsi="宋体"/>
          <w:color w:val="000000"/>
          <w:szCs w:val="21"/>
        </w:rPr>
        <w:t>内容</w:t>
      </w:r>
      <w:r>
        <w:rPr>
          <w:rFonts w:hAnsi="宋体"/>
          <w:color w:val="000000"/>
          <w:szCs w:val="21"/>
        </w:rPr>
        <w:t>。</w:t>
      </w:r>
    </w:p>
    <w:p>
      <w:pPr>
        <w:pStyle w:val="15"/>
        <w:rPr>
          <w:rFonts w:hAnsi="宋体"/>
          <w:color w:val="000000"/>
          <w:szCs w:val="21"/>
        </w:rPr>
      </w:pPr>
      <w:r>
        <w:rPr>
          <w:rFonts w:hint="eastAsia" w:hAnsi="宋体"/>
          <w:color w:val="000000"/>
          <w:szCs w:val="21"/>
        </w:rPr>
        <w:t>3</w:t>
      </w:r>
      <w:r>
        <w:rPr>
          <w:rFonts w:hAnsi="宋体"/>
          <w:color w:val="000000"/>
          <w:szCs w:val="21"/>
        </w:rPr>
        <w:t>、表格中“说明”部分，若有偏离，则填写偏离指标。若无偏离，则不填写内容。</w:t>
      </w:r>
    </w:p>
    <w:p>
      <w:pPr>
        <w:pStyle w:val="15"/>
        <w:rPr>
          <w:rFonts w:hAnsi="宋体"/>
          <w:b/>
          <w:color w:val="000000"/>
          <w:szCs w:val="21"/>
        </w:rPr>
      </w:pPr>
      <w:r>
        <w:rPr>
          <w:rFonts w:hint="eastAsia" w:hAnsi="宋体"/>
          <w:color w:val="000000"/>
          <w:szCs w:val="21"/>
        </w:rPr>
        <w:t>4</w:t>
      </w:r>
      <w:r>
        <w:rPr>
          <w:rFonts w:hAnsi="宋体"/>
          <w:color w:val="000000"/>
          <w:szCs w:val="21"/>
        </w:rPr>
        <w:t>、</w:t>
      </w:r>
      <w:r>
        <w:rPr>
          <w:rFonts w:hAnsi="宋体"/>
          <w:b/>
          <w:color w:val="000000"/>
          <w:szCs w:val="21"/>
        </w:rPr>
        <w:t>本表格中内容与响应文件其余部分不一致的，以本表格为准。</w:t>
      </w:r>
    </w:p>
    <w:p>
      <w:pPr>
        <w:pStyle w:val="4"/>
        <w:numPr>
          <w:ilvl w:val="0"/>
          <w:numId w:val="0"/>
        </w:numPr>
        <w:spacing w:before="0"/>
        <w:ind w:left="425"/>
        <w:rPr>
          <w:rFonts w:ascii="宋体" w:hAnsi="宋体"/>
          <w:bCs w:val="0"/>
          <w:sz w:val="32"/>
        </w:rPr>
      </w:pPr>
      <w:bookmarkStart w:id="280" w:name="_Toc20618"/>
      <w:r>
        <w:rPr>
          <w:rFonts w:hint="eastAsia" w:ascii="宋体" w:hAnsi="宋体"/>
          <w:bCs w:val="0"/>
          <w:sz w:val="32"/>
        </w:rPr>
        <w:t>格</w:t>
      </w:r>
      <w:bookmarkStart w:id="281" w:name="_Toc32653"/>
      <w:bookmarkStart w:id="282" w:name="_Toc10549"/>
      <w:bookmarkStart w:id="283" w:name="_Toc337822255"/>
      <w:r>
        <w:rPr>
          <w:rFonts w:hint="eastAsia" w:ascii="宋体" w:hAnsi="宋体"/>
          <w:bCs w:val="0"/>
          <w:sz w:val="32"/>
        </w:rPr>
        <w:t xml:space="preserve">式4 </w:t>
      </w:r>
      <w:r>
        <w:rPr>
          <w:rFonts w:ascii="宋体" w:hAnsi="宋体"/>
          <w:bCs w:val="0"/>
          <w:sz w:val="32"/>
        </w:rPr>
        <w:t>商务条款偏离表</w:t>
      </w:r>
      <w:bookmarkEnd w:id="280"/>
    </w:p>
    <w:bookmarkEnd w:id="281"/>
    <w:bookmarkEnd w:id="282"/>
    <w:bookmarkEnd w:id="283"/>
    <w:p>
      <w:pPr>
        <w:spacing w:line="360" w:lineRule="auto"/>
        <w:ind w:firstLine="420" w:firstLineChars="200"/>
        <w:rPr>
          <w:rFonts w:ascii="宋体" w:hAnsi="宋体"/>
        </w:rPr>
      </w:pPr>
      <w:r>
        <w:rPr>
          <w:rFonts w:ascii="宋体" w:hAnsi="宋体"/>
        </w:rPr>
        <w:t>参加磋商的供应商应逐条对应磋商文件第五章“</w:t>
      </w:r>
      <w:r>
        <w:rPr>
          <w:rFonts w:ascii="宋体" w:hAnsi="宋体"/>
          <w:b/>
        </w:rPr>
        <w:t>服务需求</w:t>
      </w:r>
      <w:r>
        <w:rPr>
          <w:rFonts w:ascii="宋体" w:hAnsi="宋体"/>
        </w:rPr>
        <w:t>”和第三章“</w:t>
      </w:r>
      <w:r>
        <w:rPr>
          <w:rFonts w:ascii="宋体" w:hAnsi="宋体"/>
          <w:b/>
          <w:bCs/>
        </w:rPr>
        <w:t>合同书样式及主要条款</w:t>
      </w:r>
      <w:r>
        <w:rPr>
          <w:rFonts w:ascii="宋体" w:hAnsi="宋体"/>
        </w:rPr>
        <w:t>”中要求的商务条件，包括</w:t>
      </w:r>
      <w:r>
        <w:rPr>
          <w:rFonts w:hint="eastAsia" w:ascii="宋体" w:hAnsi="宋体"/>
        </w:rPr>
        <w:t>服务期、付款方</w:t>
      </w:r>
      <w:r>
        <w:rPr>
          <w:rFonts w:ascii="宋体" w:hAnsi="宋体"/>
        </w:rPr>
        <w:t>式、履约保证金等内容，并根据实际情况如实填写本表格。</w:t>
      </w:r>
    </w:p>
    <w:p>
      <w:pPr>
        <w:spacing w:line="360" w:lineRule="auto"/>
        <w:ind w:firstLine="420" w:firstLineChars="200"/>
        <w:rPr>
          <w:rFonts w:ascii="宋体" w:hAnsi="宋体"/>
          <w:b/>
        </w:rPr>
      </w:pPr>
      <w:r>
        <w:rPr>
          <w:rFonts w:ascii="宋体" w:hAnsi="宋体"/>
          <w:kern w:val="0"/>
          <w:szCs w:val="21"/>
        </w:rPr>
        <w:t>★</w:t>
      </w:r>
      <w:r>
        <w:rPr>
          <w:rFonts w:ascii="宋体" w:hAnsi="宋体"/>
          <w:b/>
        </w:rPr>
        <w:t>未填写本表格的供应商将不能通过</w:t>
      </w:r>
      <w:r>
        <w:rPr>
          <w:rFonts w:hint="eastAsia" w:ascii="宋体" w:hAnsi="宋体"/>
          <w:b/>
        </w:rPr>
        <w:t>符合性审查</w:t>
      </w:r>
      <w:r>
        <w:rPr>
          <w:rFonts w:ascii="宋体" w:hAnsi="宋体"/>
          <w:b/>
        </w:rPr>
        <w:t>。</w:t>
      </w:r>
    </w:p>
    <w:p>
      <w:pPr>
        <w:spacing w:line="360" w:lineRule="auto"/>
        <w:ind w:firstLine="420" w:firstLineChars="200"/>
        <w:rPr>
          <w:rFonts w:ascii="宋体" w:hAnsi="宋体"/>
        </w:rPr>
      </w:pPr>
    </w:p>
    <w:p>
      <w:pPr>
        <w:spacing w:line="360" w:lineRule="auto"/>
        <w:rPr>
          <w:rFonts w:ascii="宋体" w:hAnsi="宋体"/>
          <w:u w:val="single"/>
        </w:rPr>
      </w:pPr>
      <w:r>
        <w:rPr>
          <w:rFonts w:ascii="宋体" w:hAnsi="宋体"/>
        </w:rPr>
        <w:t>项目名称：项目编号：</w:t>
      </w:r>
    </w:p>
    <w:p>
      <w:pPr>
        <w:spacing w:line="360" w:lineRule="auto"/>
        <w:rPr>
          <w:rFonts w:ascii="宋体" w:hAnsi="宋体"/>
        </w:rPr>
      </w:pPr>
      <w:r>
        <w:rPr>
          <w:rFonts w:ascii="宋体" w:hAnsi="宋体"/>
        </w:rPr>
        <w:t>A、□我公司已详细阅读磋商文件中项商务要求，所有商务要求均无偏离，成交后我公司将严格遵照执行。</w:t>
      </w:r>
    </w:p>
    <w:p>
      <w:pPr>
        <w:spacing w:line="360" w:lineRule="auto"/>
        <w:rPr>
          <w:rFonts w:ascii="宋体" w:hAnsi="宋体"/>
        </w:rPr>
      </w:pPr>
      <w:r>
        <w:rPr>
          <w:rFonts w:ascii="宋体" w:hAnsi="宋体"/>
        </w:rPr>
        <w:t>B、□我公司已详细阅读磋商文件中项商务要求，除下述条款有偏离外，其余条款我公司均予以认可，成交后将严格遵照执行。</w:t>
      </w:r>
    </w:p>
    <w:tbl>
      <w:tblPr>
        <w:tblStyle w:val="32"/>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6580"/>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ascii="宋体" w:hAnsi="宋体"/>
              </w:rPr>
            </w:pPr>
            <w:r>
              <w:rPr>
                <w:rFonts w:ascii="宋体" w:hAnsi="宋体"/>
              </w:rPr>
              <w:t>序号</w:t>
            </w:r>
          </w:p>
        </w:tc>
        <w:tc>
          <w:tcPr>
            <w:tcW w:w="6580" w:type="dxa"/>
            <w:vAlign w:val="center"/>
          </w:tcPr>
          <w:p>
            <w:pPr>
              <w:jc w:val="center"/>
              <w:rPr>
                <w:rFonts w:ascii="宋体" w:hAnsi="宋体"/>
              </w:rPr>
            </w:pPr>
            <w:r>
              <w:rPr>
                <w:rFonts w:ascii="宋体" w:hAnsi="宋体"/>
              </w:rPr>
              <w:t>磋商文件的商务条款要求</w:t>
            </w:r>
          </w:p>
        </w:tc>
        <w:tc>
          <w:tcPr>
            <w:tcW w:w="6282" w:type="dxa"/>
            <w:vAlign w:val="center"/>
          </w:tcPr>
          <w:p>
            <w:pPr>
              <w:jc w:val="center"/>
              <w:rPr>
                <w:rFonts w:ascii="宋体" w:hAnsi="宋体"/>
              </w:rPr>
            </w:pPr>
            <w:r>
              <w:rPr>
                <w:rFonts w:ascii="宋体" w:hAnsi="宋体"/>
              </w:rPr>
              <w:t>响应文件的商务条款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ascii="宋体" w:hAnsi="宋体"/>
              </w:rPr>
            </w:pPr>
          </w:p>
        </w:tc>
        <w:tc>
          <w:tcPr>
            <w:tcW w:w="6580" w:type="dxa"/>
            <w:vAlign w:val="center"/>
          </w:tcPr>
          <w:p>
            <w:pPr>
              <w:jc w:val="center"/>
              <w:rPr>
                <w:rFonts w:ascii="宋体" w:hAnsi="宋体"/>
              </w:rPr>
            </w:pPr>
          </w:p>
        </w:tc>
        <w:tc>
          <w:tcPr>
            <w:tcW w:w="6282"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ascii="宋体" w:hAnsi="宋体"/>
              </w:rPr>
            </w:pPr>
          </w:p>
        </w:tc>
        <w:tc>
          <w:tcPr>
            <w:tcW w:w="6580" w:type="dxa"/>
            <w:vAlign w:val="center"/>
          </w:tcPr>
          <w:p>
            <w:pPr>
              <w:jc w:val="center"/>
              <w:rPr>
                <w:rFonts w:ascii="宋体" w:hAnsi="宋体"/>
              </w:rPr>
            </w:pPr>
          </w:p>
        </w:tc>
        <w:tc>
          <w:tcPr>
            <w:tcW w:w="6282"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ascii="宋体" w:hAnsi="宋体"/>
              </w:rPr>
            </w:pPr>
          </w:p>
        </w:tc>
        <w:tc>
          <w:tcPr>
            <w:tcW w:w="6580" w:type="dxa"/>
            <w:vAlign w:val="center"/>
          </w:tcPr>
          <w:p>
            <w:pPr>
              <w:jc w:val="center"/>
              <w:rPr>
                <w:rFonts w:ascii="宋体" w:hAnsi="宋体"/>
              </w:rPr>
            </w:pPr>
          </w:p>
        </w:tc>
        <w:tc>
          <w:tcPr>
            <w:tcW w:w="6282"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ascii="宋体" w:hAnsi="宋体"/>
              </w:rPr>
            </w:pPr>
          </w:p>
        </w:tc>
        <w:tc>
          <w:tcPr>
            <w:tcW w:w="6580" w:type="dxa"/>
            <w:vAlign w:val="center"/>
          </w:tcPr>
          <w:p>
            <w:pPr>
              <w:jc w:val="center"/>
              <w:rPr>
                <w:rFonts w:ascii="宋体" w:hAnsi="宋体"/>
              </w:rPr>
            </w:pPr>
          </w:p>
        </w:tc>
        <w:tc>
          <w:tcPr>
            <w:tcW w:w="6282" w:type="dxa"/>
            <w:vAlign w:val="center"/>
          </w:tcPr>
          <w:p>
            <w:pPr>
              <w:jc w:val="center"/>
              <w:rPr>
                <w:rFonts w:ascii="宋体" w:hAnsi="宋体"/>
              </w:rPr>
            </w:pPr>
          </w:p>
        </w:tc>
      </w:tr>
    </w:tbl>
    <w:p>
      <w:pPr>
        <w:spacing w:line="360" w:lineRule="auto"/>
        <w:ind w:firstLine="2" w:firstLineChars="1"/>
        <w:rPr>
          <w:rFonts w:ascii="宋体" w:hAnsi="宋体"/>
          <w:szCs w:val="21"/>
          <w:highlight w:val="cyan"/>
        </w:rPr>
      </w:pPr>
      <w:r>
        <w:rPr>
          <w:rFonts w:ascii="宋体" w:hAnsi="宋体"/>
          <w:szCs w:val="21"/>
        </w:rPr>
        <w:t>供应商：（盖单位鲜章）</w:t>
      </w:r>
    </w:p>
    <w:p>
      <w:pPr>
        <w:spacing w:line="360" w:lineRule="auto"/>
        <w:ind w:firstLine="2" w:firstLineChars="1"/>
        <w:rPr>
          <w:rFonts w:ascii="宋体" w:hAnsi="宋体"/>
          <w:szCs w:val="21"/>
        </w:rPr>
      </w:pPr>
      <w:r>
        <w:rPr>
          <w:rFonts w:ascii="宋体" w:hAnsi="宋体"/>
          <w:szCs w:val="21"/>
        </w:rPr>
        <w:t>法定代表人：（签名或签章）</w:t>
      </w:r>
    </w:p>
    <w:p>
      <w:pPr>
        <w:spacing w:line="360" w:lineRule="auto"/>
        <w:ind w:firstLine="420" w:firstLineChars="200"/>
        <w:rPr>
          <w:rFonts w:ascii="宋体" w:hAnsi="宋体"/>
          <w:szCs w:val="21"/>
        </w:rPr>
      </w:pPr>
      <w:r>
        <w:rPr>
          <w:rFonts w:ascii="宋体" w:hAnsi="宋体"/>
          <w:szCs w:val="21"/>
        </w:rPr>
        <w:t>年月日</w:t>
      </w:r>
    </w:p>
    <w:p>
      <w:pPr>
        <w:pStyle w:val="15"/>
        <w:spacing w:line="360" w:lineRule="auto"/>
        <w:rPr>
          <w:rFonts w:hAnsi="宋体"/>
          <w:b/>
        </w:rPr>
      </w:pPr>
      <w:r>
        <w:rPr>
          <w:rFonts w:hAnsi="宋体"/>
          <w:b/>
        </w:rPr>
        <w:t>表格填写说明：</w:t>
      </w:r>
    </w:p>
    <w:p>
      <w:pPr>
        <w:pStyle w:val="15"/>
        <w:spacing w:line="360" w:lineRule="auto"/>
        <w:rPr>
          <w:rFonts w:hAnsi="宋体"/>
        </w:rPr>
      </w:pPr>
      <w:r>
        <w:rPr>
          <w:rFonts w:hAnsi="宋体"/>
        </w:rPr>
        <w:t>1、供应商根据应根据实际情况，填写本表格，若无偏离，则勾选A项，签字盖章即可。若有偏离，则勾选B项，按表格要求及实际情况填写后，签字盖章。</w:t>
      </w:r>
    </w:p>
    <w:p>
      <w:pPr>
        <w:pStyle w:val="15"/>
        <w:spacing w:line="360" w:lineRule="auto"/>
        <w:rPr>
          <w:rFonts w:hAnsi="宋体"/>
        </w:rPr>
      </w:pPr>
      <w:r>
        <w:rPr>
          <w:rFonts w:hAnsi="宋体"/>
        </w:rPr>
        <w:t>2、表格中“磋商文件的商务条款要求”在填写时应注明该条款在响应文件中的页码及条款号。</w:t>
      </w:r>
    </w:p>
    <w:p>
      <w:pPr>
        <w:pStyle w:val="15"/>
        <w:spacing w:line="360" w:lineRule="auto"/>
        <w:rPr>
          <w:rFonts w:hAnsi="宋体"/>
        </w:rPr>
      </w:pPr>
      <w:r>
        <w:rPr>
          <w:rFonts w:hAnsi="宋体"/>
        </w:rPr>
        <w:t>3、表格中“响应文件的商务条款”请根据实际响应情况如实、完整、准确的填写。</w:t>
      </w:r>
    </w:p>
    <w:p>
      <w:pPr>
        <w:pStyle w:val="15"/>
        <w:spacing w:line="360" w:lineRule="auto"/>
        <w:rPr>
          <w:rFonts w:hAnsi="宋体"/>
          <w:b/>
        </w:rPr>
      </w:pPr>
      <w:r>
        <w:rPr>
          <w:rFonts w:hAnsi="宋体"/>
        </w:rPr>
        <w:t>4、</w:t>
      </w:r>
      <w:r>
        <w:rPr>
          <w:rFonts w:hAnsi="宋体"/>
          <w:b/>
        </w:rPr>
        <w:t>本表格中内容与响应文件其余部分不一致的，以本表格为准。</w:t>
      </w:r>
    </w:p>
    <w:p>
      <w:pPr>
        <w:pStyle w:val="15"/>
        <w:spacing w:line="360" w:lineRule="auto"/>
        <w:rPr>
          <w:rFonts w:hAnsi="宋体"/>
        </w:rPr>
      </w:pPr>
      <w:r>
        <w:rPr>
          <w:rFonts w:hAnsi="宋体"/>
        </w:rPr>
        <w:t>5、填表示例：（有偏离情况的）</w:t>
      </w:r>
    </w:p>
    <w:p>
      <w:pPr>
        <w:spacing w:line="360" w:lineRule="auto"/>
        <w:rPr>
          <w:rFonts w:ascii="宋体" w:hAnsi="宋体"/>
        </w:rPr>
      </w:pPr>
      <w:r>
        <w:rPr>
          <w:rFonts w:ascii="宋体" w:hAnsi="宋体"/>
        </w:rPr>
        <w:t>A、</w:t>
      </w:r>
      <w:r>
        <w:rPr>
          <w:rFonts w:ascii="宋体" w:hAnsi="宋体"/>
        </w:rPr>
        <w:fldChar w:fldCharType="begin"/>
      </w:r>
      <w:r>
        <w:rPr>
          <w:rFonts w:ascii="宋体" w:hAnsi="宋体"/>
        </w:rPr>
        <w:instrText xml:space="preserve"> eq \o\ac(□,</w:instrText>
      </w:r>
      <w:r>
        <w:rPr>
          <w:rFonts w:ascii="宋体" w:hAnsi="宋体"/>
          <w:position w:val="2"/>
          <w:sz w:val="13"/>
        </w:rPr>
        <w:instrText xml:space="preserve">×</w:instrText>
      </w:r>
      <w:r>
        <w:rPr>
          <w:rFonts w:ascii="宋体" w:hAnsi="宋体"/>
        </w:rPr>
        <w:instrText xml:space="preserve">)</w:instrText>
      </w:r>
      <w:r>
        <w:rPr>
          <w:rFonts w:ascii="宋体" w:hAnsi="宋体"/>
        </w:rPr>
        <w:fldChar w:fldCharType="end"/>
      </w:r>
      <w:r>
        <w:rPr>
          <w:rFonts w:ascii="宋体" w:hAnsi="宋体"/>
        </w:rPr>
        <w:t>我公司已详细阅读磋商文件中项商务要求，所有商务要求均无偏离，成交后我公司将严格遵照执行。</w:t>
      </w:r>
    </w:p>
    <w:p>
      <w:pPr>
        <w:spacing w:line="360" w:lineRule="auto"/>
        <w:rPr>
          <w:rFonts w:ascii="宋体" w:hAnsi="宋体"/>
        </w:rPr>
      </w:pPr>
      <w:r>
        <w:rPr>
          <w:rFonts w:ascii="宋体" w:hAnsi="宋体"/>
        </w:rPr>
        <w:t>B、</w:t>
      </w:r>
      <w:r>
        <w:rPr>
          <w:rFonts w:ascii="宋体" w:hAnsi="宋体"/>
        </w:rPr>
        <w:fldChar w:fldCharType="begin"/>
      </w:r>
      <w:r>
        <w:rPr>
          <w:rFonts w:ascii="宋体" w:hAnsi="宋体"/>
        </w:rPr>
        <w:instrText xml:space="preserve"> eq \o\ac(□,</w:instrText>
      </w:r>
      <w:r>
        <w:rPr>
          <w:rFonts w:ascii="宋体" w:hAnsi="宋体"/>
          <w:position w:val="2"/>
          <w:sz w:val="13"/>
        </w:rPr>
        <w:instrText xml:space="preserve">√</w:instrText>
      </w:r>
      <w:r>
        <w:rPr>
          <w:rFonts w:ascii="宋体" w:hAnsi="宋体"/>
        </w:rPr>
        <w:instrText xml:space="preserve">)</w:instrText>
      </w:r>
      <w:r>
        <w:rPr>
          <w:rFonts w:ascii="宋体" w:hAnsi="宋体"/>
        </w:rPr>
        <w:fldChar w:fldCharType="end"/>
      </w:r>
      <w:r>
        <w:rPr>
          <w:rFonts w:ascii="宋体" w:hAnsi="宋体"/>
        </w:rPr>
        <w:t>我公司已详细阅读磋商文件中项商务要求，除下述条款有偏离外，其余条款我公司均予以认可，成交后将严格遵照执行。</w:t>
      </w:r>
    </w:p>
    <w:tbl>
      <w:tblPr>
        <w:tblStyle w:val="32"/>
        <w:tblW w:w="13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122"/>
        <w:gridCol w:w="5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ascii="宋体" w:hAnsi="宋体"/>
              </w:rPr>
            </w:pPr>
            <w:r>
              <w:rPr>
                <w:rFonts w:ascii="宋体" w:hAnsi="宋体"/>
              </w:rPr>
              <w:t>序号</w:t>
            </w:r>
          </w:p>
        </w:tc>
        <w:tc>
          <w:tcPr>
            <w:tcW w:w="7122" w:type="dxa"/>
            <w:vAlign w:val="center"/>
          </w:tcPr>
          <w:p>
            <w:pPr>
              <w:jc w:val="center"/>
              <w:rPr>
                <w:rFonts w:ascii="宋体" w:hAnsi="宋体"/>
              </w:rPr>
            </w:pPr>
            <w:r>
              <w:rPr>
                <w:rFonts w:ascii="宋体" w:hAnsi="宋体"/>
              </w:rPr>
              <w:t>磋商文件的商务条款要求</w:t>
            </w:r>
          </w:p>
        </w:tc>
        <w:tc>
          <w:tcPr>
            <w:tcW w:w="5931" w:type="dxa"/>
            <w:vAlign w:val="center"/>
          </w:tcPr>
          <w:p>
            <w:pPr>
              <w:jc w:val="center"/>
              <w:rPr>
                <w:rFonts w:ascii="宋体" w:hAnsi="宋体"/>
              </w:rPr>
            </w:pPr>
            <w:r>
              <w:rPr>
                <w:rFonts w:ascii="宋体" w:hAnsi="宋体"/>
              </w:rPr>
              <w:t>响应文件的商务条款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ascii="宋体" w:hAnsi="宋体"/>
                <w:sz w:val="22"/>
              </w:rPr>
            </w:pPr>
            <w:r>
              <w:rPr>
                <w:rFonts w:ascii="宋体" w:hAnsi="宋体"/>
                <w:sz w:val="22"/>
              </w:rPr>
              <w:t>1</w:t>
            </w:r>
          </w:p>
        </w:tc>
        <w:tc>
          <w:tcPr>
            <w:tcW w:w="7122" w:type="dxa"/>
            <w:vAlign w:val="center"/>
          </w:tcPr>
          <w:p>
            <w:pPr>
              <w:rPr>
                <w:rFonts w:ascii="宋体" w:hAnsi="宋体"/>
                <w:sz w:val="22"/>
                <w:szCs w:val="21"/>
              </w:rPr>
            </w:pPr>
            <w:r>
              <w:rPr>
                <w:rFonts w:ascii="宋体" w:hAnsi="宋体"/>
                <w:sz w:val="22"/>
                <w:szCs w:val="21"/>
              </w:rPr>
              <w:t>P25、合同条款前附表。第2条。付款方式：设备到货后，安装、调试、验收合格后一次性支付合同总价的95%，设备使用三个月后无质量问题，运行正常，支付5%余款。</w:t>
            </w:r>
          </w:p>
        </w:tc>
        <w:tc>
          <w:tcPr>
            <w:tcW w:w="5931" w:type="dxa"/>
            <w:vAlign w:val="center"/>
          </w:tcPr>
          <w:p>
            <w:pPr>
              <w:rPr>
                <w:rFonts w:ascii="宋体" w:hAnsi="宋体"/>
                <w:sz w:val="22"/>
              </w:rPr>
            </w:pPr>
            <w:r>
              <w:rPr>
                <w:rFonts w:ascii="宋体" w:hAnsi="宋体"/>
                <w:sz w:val="22"/>
                <w:szCs w:val="21"/>
              </w:rPr>
              <w:t>付款方式：设备到货后，安装、调试、验收合格后一次性支付合同总价的97%，设备使用三个月后无质量问题，运行正常，支付3%余款。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jc w:val="center"/>
              <w:rPr>
                <w:rFonts w:ascii="宋体" w:hAnsi="宋体"/>
                <w:sz w:val="22"/>
              </w:rPr>
            </w:pPr>
            <w:r>
              <w:rPr>
                <w:rFonts w:ascii="宋体" w:hAnsi="宋体"/>
                <w:sz w:val="22"/>
              </w:rPr>
              <w:t>2</w:t>
            </w:r>
          </w:p>
        </w:tc>
        <w:tc>
          <w:tcPr>
            <w:tcW w:w="7122" w:type="dxa"/>
            <w:vAlign w:val="center"/>
          </w:tcPr>
          <w:p>
            <w:pPr>
              <w:rPr>
                <w:rFonts w:ascii="宋体" w:hAnsi="宋体"/>
                <w:sz w:val="22"/>
              </w:rPr>
            </w:pPr>
            <w:r>
              <w:rPr>
                <w:rFonts w:ascii="宋体" w:hAnsi="宋体"/>
                <w:sz w:val="22"/>
                <w:szCs w:val="21"/>
              </w:rPr>
              <w:t>P25、合同条款前附表。第1条。交货期：签订合同后30天内到货并完成验收；</w:t>
            </w:r>
          </w:p>
        </w:tc>
        <w:tc>
          <w:tcPr>
            <w:tcW w:w="5931" w:type="dxa"/>
            <w:vAlign w:val="center"/>
          </w:tcPr>
          <w:p>
            <w:pPr>
              <w:rPr>
                <w:rFonts w:ascii="宋体" w:hAnsi="宋体"/>
                <w:sz w:val="22"/>
                <w:szCs w:val="21"/>
              </w:rPr>
            </w:pPr>
            <w:r>
              <w:rPr>
                <w:rFonts w:ascii="宋体" w:hAnsi="宋体"/>
                <w:sz w:val="22"/>
                <w:szCs w:val="21"/>
              </w:rPr>
              <w:t>交货期：签订合同后20天内到货并完成验收；</w:t>
            </w:r>
          </w:p>
        </w:tc>
      </w:tr>
    </w:tbl>
    <w:p>
      <w:pPr>
        <w:pStyle w:val="15"/>
        <w:spacing w:line="360" w:lineRule="auto"/>
        <w:rPr>
          <w:rFonts w:hAnsi="宋体"/>
          <w:sz w:val="24"/>
        </w:rPr>
        <w:sectPr>
          <w:headerReference r:id="rId7" w:type="default"/>
          <w:footerReference r:id="rId8" w:type="default"/>
          <w:pgSz w:w="16838" w:h="11906" w:orient="landscape"/>
          <w:pgMar w:top="1153" w:right="1418" w:bottom="1134" w:left="1134" w:header="936" w:footer="720" w:gutter="0"/>
          <w:cols w:space="720" w:num="1"/>
          <w:docGrid w:type="linesAndChars" w:linePitch="331" w:charSpace="0"/>
        </w:sectPr>
      </w:pPr>
    </w:p>
    <w:p>
      <w:pPr>
        <w:spacing w:line="360" w:lineRule="auto"/>
        <w:ind w:firstLine="320" w:firstLineChars="100"/>
        <w:jc w:val="left"/>
        <w:outlineLvl w:val="1"/>
        <w:rPr>
          <w:rFonts w:ascii="宋体" w:hAnsi="宋体" w:cs="宋体"/>
          <w:b/>
          <w:sz w:val="32"/>
          <w:szCs w:val="32"/>
        </w:rPr>
      </w:pPr>
      <w:bookmarkStart w:id="284" w:name="_Toc525"/>
      <w:r>
        <w:rPr>
          <w:rFonts w:hint="eastAsia" w:ascii="宋体" w:hAnsi="宋体" w:cs="宋体"/>
          <w:b/>
          <w:sz w:val="32"/>
          <w:szCs w:val="32"/>
        </w:rPr>
        <w:t>格</w:t>
      </w:r>
      <w:bookmarkStart w:id="285" w:name="_Toc337822256"/>
      <w:bookmarkStart w:id="286" w:name="_Toc495671860"/>
      <w:bookmarkStart w:id="287" w:name="_Toc444606627"/>
      <w:r>
        <w:rPr>
          <w:rFonts w:hint="eastAsia" w:ascii="宋体" w:hAnsi="宋体" w:cs="宋体"/>
          <w:b/>
          <w:sz w:val="32"/>
          <w:szCs w:val="32"/>
        </w:rPr>
        <w:t>式5 技术文件</w:t>
      </w:r>
      <w:bookmarkEnd w:id="284"/>
    </w:p>
    <w:p>
      <w:pPr>
        <w:spacing w:line="360" w:lineRule="auto"/>
        <w:ind w:firstLine="280" w:firstLineChars="100"/>
        <w:jc w:val="left"/>
        <w:rPr>
          <w:rFonts w:asciiTheme="minorEastAsia" w:hAnsiTheme="minorEastAsia" w:eastAsiaTheme="minorEastAsia"/>
          <w:b/>
          <w:sz w:val="30"/>
          <w:szCs w:val="30"/>
        </w:rPr>
      </w:pPr>
      <w:r>
        <w:rPr>
          <w:rFonts w:ascii="宋体" w:hAnsi="宋体"/>
          <w:b/>
          <w:kern w:val="0"/>
          <w:sz w:val="28"/>
          <w:szCs w:val="28"/>
        </w:rPr>
        <w:t>格</w:t>
      </w:r>
      <w:bookmarkEnd w:id="285"/>
      <w:bookmarkEnd w:id="286"/>
      <w:r>
        <w:rPr>
          <w:rFonts w:ascii="宋体" w:hAnsi="宋体"/>
          <w:b/>
          <w:kern w:val="0"/>
          <w:sz w:val="28"/>
          <w:szCs w:val="28"/>
        </w:rPr>
        <w:t>式</w:t>
      </w:r>
      <w:r>
        <w:rPr>
          <w:rFonts w:hint="eastAsia" w:ascii="宋体" w:hAnsi="宋体"/>
          <w:b/>
          <w:kern w:val="0"/>
          <w:sz w:val="28"/>
          <w:szCs w:val="28"/>
        </w:rPr>
        <w:t>5</w:t>
      </w:r>
      <w:r>
        <w:rPr>
          <w:rFonts w:ascii="宋体" w:hAnsi="宋体"/>
          <w:b/>
          <w:kern w:val="0"/>
          <w:sz w:val="28"/>
          <w:szCs w:val="28"/>
        </w:rPr>
        <w:t>-</w:t>
      </w:r>
      <w:r>
        <w:rPr>
          <w:rFonts w:hint="eastAsia" w:ascii="宋体" w:hAnsi="宋体"/>
          <w:b/>
          <w:kern w:val="0"/>
          <w:sz w:val="28"/>
          <w:szCs w:val="28"/>
        </w:rPr>
        <w:t>1</w:t>
      </w:r>
      <w:r>
        <w:rPr>
          <w:rFonts w:ascii="宋体" w:hAnsi="宋体"/>
          <w:b/>
          <w:kern w:val="0"/>
          <w:sz w:val="28"/>
          <w:szCs w:val="28"/>
        </w:rPr>
        <w:t>：</w:t>
      </w:r>
      <w:r>
        <w:rPr>
          <w:rFonts w:hint="eastAsia" w:ascii="宋体" w:hAnsi="宋体"/>
          <w:b/>
          <w:kern w:val="0"/>
          <w:sz w:val="28"/>
          <w:szCs w:val="28"/>
        </w:rPr>
        <w:t>服务方案</w:t>
      </w:r>
    </w:p>
    <w:p>
      <w:pPr>
        <w:spacing w:line="360" w:lineRule="auto"/>
        <w:ind w:firstLine="420" w:firstLineChars="200"/>
        <w:jc w:val="center"/>
        <w:rPr>
          <w:rFonts w:ascii="宋体" w:hAnsi="宋体"/>
          <w:kern w:val="0"/>
          <w:szCs w:val="21"/>
        </w:rPr>
      </w:pPr>
      <w:r>
        <w:rPr>
          <w:rFonts w:hint="eastAsia" w:ascii="宋体" w:hAnsi="宋体"/>
          <w:kern w:val="0"/>
          <w:szCs w:val="21"/>
        </w:rPr>
        <w:t>（请</w:t>
      </w:r>
      <w:r>
        <w:rPr>
          <w:rFonts w:hint="eastAsia" w:ascii="宋体" w:hAnsi="宋体" w:cs="宋体"/>
          <w:kern w:val="0"/>
          <w:szCs w:val="21"/>
        </w:rPr>
        <w:t>供应商</w:t>
      </w:r>
      <w:r>
        <w:rPr>
          <w:rFonts w:hint="eastAsia" w:ascii="宋体" w:hAnsi="宋体"/>
          <w:kern w:val="0"/>
          <w:szCs w:val="21"/>
        </w:rPr>
        <w:t>按要求根据自己的实际情况自行编制）</w:t>
      </w:r>
    </w:p>
    <w:p>
      <w:pPr>
        <w:rPr>
          <w:rFonts w:ascii="宋体" w:hAnsi="宋体"/>
          <w:kern w:val="0"/>
          <w:szCs w:val="21"/>
        </w:rPr>
      </w:pPr>
    </w:p>
    <w:p>
      <w:pPr>
        <w:spacing w:line="360" w:lineRule="auto"/>
        <w:jc w:val="left"/>
        <w:rPr>
          <w:rFonts w:ascii="宋体" w:hAnsi="宋体"/>
          <w:b/>
          <w:kern w:val="0"/>
          <w:sz w:val="28"/>
          <w:szCs w:val="28"/>
        </w:rPr>
      </w:pPr>
    </w:p>
    <w:p>
      <w:pPr>
        <w:spacing w:line="360" w:lineRule="auto"/>
        <w:jc w:val="left"/>
        <w:rPr>
          <w:rFonts w:ascii="宋体" w:hAnsi="宋体"/>
          <w:b/>
          <w:kern w:val="0"/>
          <w:sz w:val="28"/>
          <w:szCs w:val="28"/>
        </w:rPr>
      </w:pPr>
      <w:bookmarkStart w:id="288" w:name="_Toc441237639"/>
    </w:p>
    <w:p>
      <w:pPr>
        <w:spacing w:line="360" w:lineRule="auto"/>
        <w:jc w:val="left"/>
        <w:rPr>
          <w:rFonts w:ascii="宋体" w:hAnsi="宋体"/>
          <w:b/>
          <w:kern w:val="0"/>
          <w:sz w:val="28"/>
          <w:szCs w:val="28"/>
        </w:rPr>
      </w:pPr>
    </w:p>
    <w:p>
      <w:pPr>
        <w:spacing w:line="360" w:lineRule="auto"/>
        <w:jc w:val="left"/>
        <w:rPr>
          <w:rFonts w:ascii="宋体" w:hAnsi="宋体"/>
          <w:b/>
          <w:kern w:val="0"/>
          <w:sz w:val="28"/>
          <w:szCs w:val="28"/>
        </w:rPr>
      </w:pPr>
    </w:p>
    <w:p>
      <w:pPr>
        <w:spacing w:line="360" w:lineRule="auto"/>
        <w:jc w:val="left"/>
        <w:rPr>
          <w:rFonts w:ascii="宋体" w:hAnsi="宋体"/>
          <w:b/>
          <w:kern w:val="0"/>
          <w:sz w:val="28"/>
          <w:szCs w:val="28"/>
        </w:rPr>
      </w:pPr>
    </w:p>
    <w:p>
      <w:pPr>
        <w:rPr>
          <w:rFonts w:ascii="宋体" w:hAnsi="宋体"/>
          <w:b/>
          <w:kern w:val="0"/>
          <w:sz w:val="28"/>
          <w:szCs w:val="28"/>
        </w:rPr>
      </w:pPr>
      <w:r>
        <w:rPr>
          <w:rFonts w:ascii="宋体" w:hAnsi="宋体"/>
          <w:b/>
          <w:kern w:val="0"/>
          <w:sz w:val="28"/>
          <w:szCs w:val="28"/>
        </w:rPr>
        <w:br w:type="page"/>
      </w:r>
    </w:p>
    <w:p>
      <w:pPr>
        <w:spacing w:line="360" w:lineRule="auto"/>
        <w:jc w:val="left"/>
        <w:rPr>
          <w:rFonts w:ascii="宋体" w:hAnsi="宋体"/>
          <w:b/>
          <w:kern w:val="0"/>
          <w:sz w:val="28"/>
          <w:szCs w:val="28"/>
        </w:rPr>
      </w:pPr>
      <w:r>
        <w:rPr>
          <w:rFonts w:ascii="宋体" w:hAnsi="宋体"/>
          <w:b/>
          <w:kern w:val="0"/>
          <w:sz w:val="28"/>
          <w:szCs w:val="28"/>
        </w:rPr>
        <w:t>格式</w:t>
      </w:r>
      <w:r>
        <w:rPr>
          <w:rFonts w:hint="eastAsia" w:ascii="宋体" w:hAnsi="宋体"/>
          <w:b/>
          <w:kern w:val="0"/>
          <w:sz w:val="28"/>
          <w:szCs w:val="28"/>
        </w:rPr>
        <w:t>5</w:t>
      </w:r>
      <w:r>
        <w:rPr>
          <w:rFonts w:ascii="宋体" w:hAnsi="宋体"/>
          <w:b/>
          <w:kern w:val="0"/>
          <w:sz w:val="28"/>
          <w:szCs w:val="28"/>
        </w:rPr>
        <w:t>-</w:t>
      </w:r>
      <w:r>
        <w:rPr>
          <w:rFonts w:hint="eastAsia" w:ascii="宋体" w:hAnsi="宋体"/>
          <w:b/>
          <w:kern w:val="0"/>
          <w:sz w:val="28"/>
          <w:szCs w:val="28"/>
        </w:rPr>
        <w:t>2</w:t>
      </w:r>
      <w:r>
        <w:rPr>
          <w:rFonts w:ascii="宋体" w:hAnsi="宋体"/>
          <w:b/>
          <w:kern w:val="0"/>
          <w:sz w:val="28"/>
          <w:szCs w:val="28"/>
        </w:rPr>
        <w:t>：</w:t>
      </w:r>
      <w:r>
        <w:rPr>
          <w:rFonts w:hint="eastAsia" w:ascii="宋体" w:hAnsi="宋体"/>
          <w:b/>
          <w:kern w:val="0"/>
          <w:sz w:val="28"/>
          <w:szCs w:val="28"/>
        </w:rPr>
        <w:t>拟派往本项目的人员配备情况表</w:t>
      </w:r>
    </w:p>
    <w:bookmarkEnd w:id="288"/>
    <w:p>
      <w:pPr>
        <w:spacing w:line="360" w:lineRule="auto"/>
        <w:jc w:val="left"/>
        <w:rPr>
          <w:rFonts w:ascii="宋体" w:hAnsi="宋体"/>
          <w:b/>
          <w:kern w:val="0"/>
          <w:sz w:val="28"/>
          <w:szCs w:val="28"/>
        </w:rPr>
      </w:pPr>
    </w:p>
    <w:p>
      <w:pPr>
        <w:spacing w:line="360" w:lineRule="auto"/>
        <w:jc w:val="left"/>
        <w:rPr>
          <w:b/>
          <w:szCs w:val="21"/>
          <w:u w:val="single"/>
        </w:rPr>
      </w:pPr>
      <w:r>
        <w:rPr>
          <w:rFonts w:hint="eastAsia"/>
          <w:b/>
          <w:szCs w:val="21"/>
        </w:rPr>
        <w:t>项目名称：</w:t>
      </w:r>
      <w:r>
        <w:rPr>
          <w:b/>
          <w:szCs w:val="21"/>
        </w:rPr>
        <w:t xml:space="preserve">  </w:t>
      </w:r>
      <w:r>
        <w:rPr>
          <w:rFonts w:hint="eastAsia"/>
          <w:b/>
          <w:szCs w:val="21"/>
        </w:rPr>
        <w:t>项目编号：</w:t>
      </w:r>
    </w:p>
    <w:tbl>
      <w:tblPr>
        <w:tblStyle w:val="32"/>
        <w:tblW w:w="8760" w:type="dxa"/>
        <w:tblInd w:w="8" w:type="dxa"/>
        <w:tblLayout w:type="fixed"/>
        <w:tblCellMar>
          <w:top w:w="0" w:type="dxa"/>
          <w:left w:w="0" w:type="dxa"/>
          <w:bottom w:w="0" w:type="dxa"/>
          <w:right w:w="0" w:type="dxa"/>
        </w:tblCellMar>
      </w:tblPr>
      <w:tblGrid>
        <w:gridCol w:w="864"/>
        <w:gridCol w:w="1260"/>
        <w:gridCol w:w="921"/>
        <w:gridCol w:w="840"/>
        <w:gridCol w:w="945"/>
        <w:gridCol w:w="1050"/>
        <w:gridCol w:w="2880"/>
      </w:tblGrid>
      <w:tr>
        <w:trPr>
          <w:cantSplit/>
          <w:trHeight w:val="548" w:hRule="atLeast"/>
        </w:trPr>
        <w:tc>
          <w:tcPr>
            <w:tcW w:w="864"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姓名</w:t>
            </w:r>
          </w:p>
        </w:tc>
        <w:tc>
          <w:tcPr>
            <w:tcW w:w="1260"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职务或职称</w:t>
            </w:r>
          </w:p>
        </w:tc>
        <w:tc>
          <w:tcPr>
            <w:tcW w:w="3756" w:type="dxa"/>
            <w:gridSpan w:val="4"/>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职业资格证明</w:t>
            </w:r>
          </w:p>
        </w:tc>
        <w:tc>
          <w:tcPr>
            <w:tcW w:w="2880" w:type="dxa"/>
            <w:vMerge w:val="restart"/>
            <w:tcBorders>
              <w:top w:val="single" w:color="auto" w:sz="6" w:space="0"/>
              <w:left w:val="single" w:color="auto" w:sz="4"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备注</w:t>
            </w:r>
          </w:p>
        </w:tc>
      </w:tr>
      <w:tr>
        <w:trPr>
          <w:cantSplit/>
        </w:trPr>
        <w:tc>
          <w:tcPr>
            <w:tcW w:w="86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p>
        </w:tc>
        <w:tc>
          <w:tcPr>
            <w:tcW w:w="1260"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证书</w:t>
            </w:r>
          </w:p>
          <w:p>
            <w:pPr>
              <w:autoSpaceDE w:val="0"/>
              <w:autoSpaceDN w:val="0"/>
              <w:adjustRightInd w:val="0"/>
              <w:jc w:val="center"/>
              <w:rPr>
                <w:rFonts w:ascii="宋体" w:hAnsi="宋体" w:cs="宋体"/>
                <w:kern w:val="0"/>
                <w:szCs w:val="21"/>
              </w:rPr>
            </w:pPr>
            <w:r>
              <w:rPr>
                <w:rFonts w:hint="eastAsia" w:ascii="宋体" w:hAnsi="宋体" w:cs="宋体"/>
                <w:kern w:val="0"/>
                <w:szCs w:val="21"/>
              </w:rPr>
              <w:t>名称</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级别</w:t>
            </w: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证号</w:t>
            </w:r>
          </w:p>
        </w:tc>
        <w:tc>
          <w:tcPr>
            <w:tcW w:w="10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专业</w:t>
            </w:r>
          </w:p>
        </w:tc>
        <w:tc>
          <w:tcPr>
            <w:tcW w:w="2880" w:type="dxa"/>
            <w:vMerge w:val="continue"/>
            <w:tcBorders>
              <w:left w:val="single" w:color="auto" w:sz="4"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p>
        </w:tc>
      </w:tr>
      <w:tr>
        <w:tc>
          <w:tcPr>
            <w:tcW w:w="864" w:type="dxa"/>
            <w:tcBorders>
              <w:top w:val="nil"/>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c>
          <w:tcPr>
            <w:tcW w:w="8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8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bl>
    <w:p>
      <w:pPr>
        <w:spacing w:line="360" w:lineRule="auto"/>
        <w:jc w:val="left"/>
        <w:rPr>
          <w:b/>
          <w:szCs w:val="21"/>
          <w:u w:val="single"/>
        </w:rPr>
      </w:pPr>
      <w:r>
        <w:rPr>
          <w:rFonts w:hint="eastAsia" w:ascii="宋体" w:hAnsi="宋体"/>
          <w:szCs w:val="21"/>
        </w:rPr>
        <w:t>说明：1.人员的相关证件、证书复印件；</w:t>
      </w:r>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rPr>
      </w:pPr>
    </w:p>
    <w:p>
      <w:pPr>
        <w:spacing w:line="360" w:lineRule="auto"/>
        <w:ind w:firstLine="2" w:firstLineChars="1"/>
        <w:rPr>
          <w:rFonts w:ascii="宋体" w:hAnsi="宋体"/>
          <w:szCs w:val="21"/>
        </w:rPr>
      </w:pPr>
      <w:r>
        <w:rPr>
          <w:rFonts w:ascii="宋体" w:hAnsi="宋体"/>
          <w:szCs w:val="21"/>
        </w:rPr>
        <w:t>供应商：（盖单位鲜章）</w:t>
      </w:r>
    </w:p>
    <w:p>
      <w:pPr>
        <w:spacing w:line="360" w:lineRule="auto"/>
        <w:ind w:firstLine="2" w:firstLineChars="1"/>
        <w:rPr>
          <w:rFonts w:ascii="宋体" w:hAnsi="宋体"/>
          <w:szCs w:val="21"/>
        </w:rPr>
      </w:pPr>
      <w:r>
        <w:rPr>
          <w:rFonts w:ascii="宋体" w:hAnsi="宋体"/>
          <w:szCs w:val="21"/>
        </w:rPr>
        <w:t>法定代表人：（签名或签章）</w:t>
      </w:r>
    </w:p>
    <w:p>
      <w:pPr>
        <w:spacing w:line="360" w:lineRule="auto"/>
        <w:jc w:val="left"/>
        <w:rPr>
          <w:rFonts w:ascii="宋体" w:hAnsi="宋体"/>
          <w:szCs w:val="21"/>
        </w:rPr>
      </w:pPr>
      <w:r>
        <w:rPr>
          <w:rFonts w:ascii="宋体" w:hAnsi="宋体"/>
          <w:szCs w:val="21"/>
        </w:rPr>
        <w:t>年月日</w:t>
      </w:r>
    </w:p>
    <w:p>
      <w:pPr>
        <w:spacing w:line="360" w:lineRule="auto"/>
        <w:ind w:firstLine="2" w:firstLineChars="1"/>
        <w:rPr>
          <w:rFonts w:ascii="宋体" w:hAnsi="宋体"/>
          <w:szCs w:val="21"/>
        </w:rPr>
      </w:pPr>
      <w:r>
        <w:rPr>
          <w:sz w:val="24"/>
        </w:rPr>
        <w:br w:type="page"/>
      </w:r>
    </w:p>
    <w:p>
      <w:pPr>
        <w:spacing w:line="360" w:lineRule="auto"/>
        <w:jc w:val="left"/>
        <w:rPr>
          <w:rFonts w:asciiTheme="minorEastAsia" w:hAnsiTheme="minorEastAsia" w:eastAsiaTheme="minorEastAsia"/>
          <w:b/>
          <w:sz w:val="28"/>
          <w:szCs w:val="28"/>
        </w:rPr>
      </w:pPr>
      <w:bookmarkStart w:id="289" w:name="_Toc27395"/>
      <w:bookmarkStart w:id="290" w:name="_Toc614"/>
      <w:bookmarkStart w:id="291" w:name="_Toc337822258"/>
      <w:bookmarkStart w:id="292" w:name="_Toc495671862"/>
      <w:r>
        <w:rPr>
          <w:rFonts w:asciiTheme="minorEastAsia" w:hAnsiTheme="minorEastAsia" w:eastAsiaTheme="minorEastAsia"/>
          <w:b/>
          <w:sz w:val="28"/>
          <w:szCs w:val="28"/>
        </w:rPr>
        <w:t>格式</w:t>
      </w:r>
      <w:r>
        <w:rPr>
          <w:rFonts w:hint="eastAsia" w:asciiTheme="minorEastAsia" w:hAnsiTheme="minorEastAsia" w:eastAsiaTheme="minorEastAsia"/>
          <w:b/>
          <w:sz w:val="28"/>
          <w:szCs w:val="28"/>
        </w:rPr>
        <w:t>5</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3</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拟派往本项目的项目经理简历表</w:t>
      </w:r>
    </w:p>
    <w:p>
      <w:pPr>
        <w:spacing w:line="360" w:lineRule="auto"/>
        <w:jc w:val="left"/>
        <w:rPr>
          <w:b/>
          <w:szCs w:val="21"/>
        </w:rPr>
      </w:pPr>
      <w:r>
        <w:rPr>
          <w:rFonts w:hint="eastAsia"/>
          <w:b/>
          <w:szCs w:val="21"/>
        </w:rPr>
        <w:t>项目名称：</w:t>
      </w:r>
      <w:r>
        <w:rPr>
          <w:b/>
          <w:szCs w:val="21"/>
        </w:rPr>
        <w:t xml:space="preserve">  </w:t>
      </w:r>
      <w:r>
        <w:rPr>
          <w:rFonts w:hint="eastAsia"/>
          <w:b/>
          <w:szCs w:val="21"/>
        </w:rPr>
        <w:t>项目编号：</w:t>
      </w:r>
    </w:p>
    <w:tbl>
      <w:tblPr>
        <w:tblStyle w:val="32"/>
        <w:tblW w:w="9720" w:type="dxa"/>
        <w:jc w:val="center"/>
        <w:tblLayout w:type="fixed"/>
        <w:tblCellMar>
          <w:top w:w="0" w:type="dxa"/>
          <w:left w:w="0" w:type="dxa"/>
          <w:bottom w:w="0" w:type="dxa"/>
          <w:right w:w="0" w:type="dxa"/>
        </w:tblCellMar>
      </w:tblPr>
      <w:tblGrid>
        <w:gridCol w:w="870"/>
        <w:gridCol w:w="750"/>
        <w:gridCol w:w="1440"/>
        <w:gridCol w:w="290"/>
        <w:gridCol w:w="10"/>
        <w:gridCol w:w="600"/>
        <w:gridCol w:w="590"/>
        <w:gridCol w:w="10"/>
        <w:gridCol w:w="250"/>
        <w:gridCol w:w="410"/>
        <w:gridCol w:w="410"/>
        <w:gridCol w:w="10"/>
        <w:gridCol w:w="480"/>
        <w:gridCol w:w="770"/>
        <w:gridCol w:w="10"/>
        <w:gridCol w:w="280"/>
        <w:gridCol w:w="200"/>
        <w:gridCol w:w="1080"/>
        <w:gridCol w:w="1260"/>
      </w:tblGrid>
      <w:tr>
        <w:trPr>
          <w:trHeight w:val="512" w:hRule="atLeast"/>
          <w:jc w:val="center"/>
        </w:trPr>
        <w:tc>
          <w:tcPr>
            <w:tcW w:w="8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姓名</w:t>
            </w:r>
          </w:p>
        </w:tc>
        <w:tc>
          <w:tcPr>
            <w:tcW w:w="219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性别</w:t>
            </w:r>
          </w:p>
        </w:tc>
        <w:tc>
          <w:tcPr>
            <w:tcW w:w="126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年龄</w:t>
            </w:r>
          </w:p>
        </w:tc>
        <w:tc>
          <w:tcPr>
            <w:tcW w:w="126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r>
              <w:rPr>
                <w:rFonts w:hint="eastAsia" w:ascii="宋体" w:hAnsi="宋体"/>
                <w:kern w:val="0"/>
                <w:szCs w:val="21"/>
              </w:rPr>
              <w:t>政治面貌</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blPrEx>
          <w:tblCellMar>
            <w:top w:w="0" w:type="dxa"/>
            <w:left w:w="0" w:type="dxa"/>
            <w:bottom w:w="0" w:type="dxa"/>
            <w:right w:w="0" w:type="dxa"/>
          </w:tblCellMar>
        </w:tblPrEx>
        <w:trPr>
          <w:trHeight w:val="502" w:hRule="atLeast"/>
          <w:jc w:val="center"/>
        </w:trPr>
        <w:tc>
          <w:tcPr>
            <w:tcW w:w="8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职务</w:t>
            </w:r>
          </w:p>
        </w:tc>
        <w:tc>
          <w:tcPr>
            <w:tcW w:w="219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职称</w:t>
            </w:r>
          </w:p>
        </w:tc>
        <w:tc>
          <w:tcPr>
            <w:tcW w:w="126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9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学历</w:t>
            </w:r>
          </w:p>
        </w:tc>
        <w:tc>
          <w:tcPr>
            <w:tcW w:w="126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r>
              <w:rPr>
                <w:rFonts w:hint="eastAsia" w:ascii="宋体" w:hAnsi="宋体"/>
                <w:kern w:val="0"/>
                <w:szCs w:val="21"/>
              </w:rPr>
              <w:t>健康状况</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blPrEx>
          <w:tblCellMar>
            <w:top w:w="0" w:type="dxa"/>
            <w:left w:w="0" w:type="dxa"/>
            <w:bottom w:w="0" w:type="dxa"/>
            <w:right w:w="0" w:type="dxa"/>
          </w:tblCellMar>
        </w:tblPrEx>
        <w:trPr>
          <w:trHeight w:val="451" w:hRule="atLeast"/>
          <w:jc w:val="center"/>
        </w:trPr>
        <w:tc>
          <w:tcPr>
            <w:tcW w:w="30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参加工作时间</w:t>
            </w:r>
          </w:p>
        </w:tc>
        <w:tc>
          <w:tcPr>
            <w:tcW w:w="1750"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c>
          <w:tcPr>
            <w:tcW w:w="2370"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担任项目经理年限</w:t>
            </w:r>
          </w:p>
        </w:tc>
        <w:tc>
          <w:tcPr>
            <w:tcW w:w="254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blPrEx>
          <w:tblCellMar>
            <w:top w:w="0" w:type="dxa"/>
            <w:left w:w="0" w:type="dxa"/>
            <w:bottom w:w="0" w:type="dxa"/>
            <w:right w:w="0" w:type="dxa"/>
          </w:tblCellMar>
        </w:tblPrEx>
        <w:trPr>
          <w:trHeight w:val="457" w:hRule="atLeast"/>
          <w:jc w:val="center"/>
        </w:trPr>
        <w:tc>
          <w:tcPr>
            <w:tcW w:w="30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资格证书编号</w:t>
            </w:r>
          </w:p>
        </w:tc>
        <w:tc>
          <w:tcPr>
            <w:tcW w:w="6660" w:type="dxa"/>
            <w:gridSpan w:val="1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Cs w:val="21"/>
              </w:rPr>
            </w:pPr>
          </w:p>
        </w:tc>
      </w:tr>
      <w:tr>
        <w:tblPrEx>
          <w:tblCellMar>
            <w:top w:w="0" w:type="dxa"/>
            <w:left w:w="0" w:type="dxa"/>
            <w:bottom w:w="0" w:type="dxa"/>
            <w:right w:w="0" w:type="dxa"/>
          </w:tblCellMar>
        </w:tblPrEx>
        <w:trPr>
          <w:jc w:val="center"/>
        </w:trPr>
        <w:tc>
          <w:tcPr>
            <w:tcW w:w="9720" w:type="dxa"/>
            <w:gridSpan w:val="1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类似项目服务情况</w:t>
            </w: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项目实施单位</w:t>
            </w: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承担工作</w:t>
            </w: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管理规模</w:t>
            </w: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服务期</w:t>
            </w: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其他</w:t>
            </w: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备注</w:t>
            </w: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8" w:leftChars="-4" w:firstLine="9" w:firstLineChars="4"/>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3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r>
        <w:tblPrEx>
          <w:tblCellMar>
            <w:top w:w="0" w:type="dxa"/>
            <w:left w:w="0" w:type="dxa"/>
            <w:bottom w:w="0" w:type="dxa"/>
            <w:right w:w="0" w:type="dxa"/>
          </w:tblCellMar>
        </w:tblPrEx>
        <w:trPr>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74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0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c>
          <w:tcPr>
            <w:tcW w:w="282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kern w:val="0"/>
                <w:sz w:val="24"/>
              </w:rPr>
            </w:pPr>
          </w:p>
        </w:tc>
      </w:tr>
    </w:tbl>
    <w:p>
      <w:pPr>
        <w:rPr>
          <w:rFonts w:ascii="宋体" w:hAnsi="宋体"/>
          <w:szCs w:val="21"/>
        </w:rPr>
      </w:pPr>
      <w:r>
        <w:rPr>
          <w:rFonts w:hint="eastAsia" w:ascii="宋体" w:hAnsi="宋体"/>
          <w:szCs w:val="21"/>
        </w:rPr>
        <w:t>说明：</w:t>
      </w:r>
    </w:p>
    <w:p>
      <w:pPr>
        <w:numPr>
          <w:ilvl w:val="0"/>
          <w:numId w:val="10"/>
        </w:numPr>
        <w:spacing w:line="360" w:lineRule="auto"/>
        <w:jc w:val="left"/>
        <w:rPr>
          <w:rFonts w:ascii="宋体" w:hAnsi="宋体"/>
          <w:szCs w:val="21"/>
        </w:rPr>
      </w:pPr>
      <w:r>
        <w:rPr>
          <w:rFonts w:hint="eastAsia" w:ascii="宋体" w:hAnsi="宋体"/>
          <w:szCs w:val="21"/>
        </w:rPr>
        <w:t>本表格后须附项目经理相关证件、证书复印件。</w:t>
      </w: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ind w:firstLine="2" w:firstLineChars="1"/>
        <w:rPr>
          <w:rFonts w:ascii="宋体" w:hAnsi="宋体"/>
          <w:szCs w:val="21"/>
        </w:rPr>
      </w:pPr>
      <w:r>
        <w:rPr>
          <w:rFonts w:ascii="宋体" w:hAnsi="宋体"/>
          <w:szCs w:val="21"/>
        </w:rPr>
        <w:t>供应商：（盖单位鲜章）</w:t>
      </w:r>
    </w:p>
    <w:p>
      <w:pPr>
        <w:spacing w:line="360" w:lineRule="auto"/>
        <w:ind w:firstLine="2" w:firstLineChars="1"/>
        <w:rPr>
          <w:rFonts w:ascii="宋体" w:hAnsi="宋体"/>
          <w:szCs w:val="21"/>
        </w:rPr>
      </w:pPr>
      <w:r>
        <w:rPr>
          <w:rFonts w:ascii="宋体" w:hAnsi="宋体"/>
          <w:szCs w:val="21"/>
        </w:rPr>
        <w:t>法定代表人：（签名或签章）</w:t>
      </w:r>
    </w:p>
    <w:p>
      <w:pPr>
        <w:spacing w:line="360" w:lineRule="auto"/>
        <w:jc w:val="left"/>
        <w:rPr>
          <w:rFonts w:ascii="宋体" w:hAnsi="宋体"/>
          <w:szCs w:val="21"/>
        </w:rPr>
      </w:pPr>
      <w:r>
        <w:rPr>
          <w:rFonts w:ascii="宋体" w:hAnsi="宋体"/>
          <w:szCs w:val="21"/>
        </w:rPr>
        <w:t>年月日</w:t>
      </w:r>
    </w:p>
    <w:p>
      <w:pPr>
        <w:rPr>
          <w:rFonts w:ascii="宋体" w:hAnsi="宋体"/>
          <w:szCs w:val="21"/>
        </w:rPr>
      </w:pPr>
      <w:r>
        <w:rPr>
          <w:rFonts w:ascii="宋体" w:hAnsi="宋体"/>
          <w:szCs w:val="21"/>
        </w:rPr>
        <w:br w:type="page"/>
      </w:r>
    </w:p>
    <w:p>
      <w:pPr>
        <w:spacing w:line="360" w:lineRule="auto"/>
        <w:jc w:val="left"/>
        <w:rPr>
          <w:rFonts w:asciiTheme="minorEastAsia" w:hAnsiTheme="minorEastAsia" w:eastAsiaTheme="minorEastAsia"/>
          <w:b/>
          <w:sz w:val="28"/>
          <w:szCs w:val="28"/>
        </w:rPr>
      </w:pPr>
      <w:r>
        <w:rPr>
          <w:rFonts w:asciiTheme="minorEastAsia" w:hAnsiTheme="minorEastAsia" w:eastAsiaTheme="minorEastAsia"/>
          <w:b/>
          <w:sz w:val="28"/>
          <w:szCs w:val="28"/>
        </w:rPr>
        <w:t>格</w:t>
      </w:r>
      <w:bookmarkStart w:id="293" w:name="_Toc441237641"/>
      <w:r>
        <w:rPr>
          <w:rFonts w:asciiTheme="minorEastAsia" w:hAnsiTheme="minorEastAsia" w:eastAsiaTheme="minorEastAsia"/>
          <w:b/>
          <w:sz w:val="28"/>
          <w:szCs w:val="28"/>
        </w:rPr>
        <w:t>式</w:t>
      </w:r>
      <w:r>
        <w:rPr>
          <w:rFonts w:hint="eastAsia" w:asciiTheme="minorEastAsia" w:hAnsiTheme="minorEastAsia" w:eastAsiaTheme="minorEastAsia"/>
          <w:b/>
          <w:sz w:val="28"/>
          <w:szCs w:val="28"/>
        </w:rPr>
        <w:t>5</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4</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项目管理机构配备情况辅助说明资料</w:t>
      </w:r>
    </w:p>
    <w:bookmarkEnd w:id="293"/>
    <w:p>
      <w:pPr>
        <w:spacing w:line="360" w:lineRule="auto"/>
        <w:jc w:val="left"/>
        <w:rPr>
          <w:b/>
          <w:szCs w:val="21"/>
        </w:rPr>
      </w:pPr>
      <w:r>
        <w:rPr>
          <w:rFonts w:hint="eastAsia"/>
          <w:b/>
          <w:szCs w:val="21"/>
        </w:rPr>
        <w:t>项目名称：</w:t>
      </w:r>
      <w:r>
        <w:rPr>
          <w:b/>
          <w:szCs w:val="21"/>
        </w:rPr>
        <w:t xml:space="preserve">  </w:t>
      </w:r>
      <w:r>
        <w:rPr>
          <w:rFonts w:hint="eastAsia"/>
          <w:b/>
          <w:szCs w:val="21"/>
        </w:rPr>
        <w:t>项目编号：</w:t>
      </w:r>
    </w:p>
    <w:p>
      <w:pPr>
        <w:spacing w:line="360" w:lineRule="auto"/>
        <w:jc w:val="left"/>
        <w:rPr>
          <w:b/>
          <w:szCs w:val="21"/>
        </w:rPr>
      </w:pPr>
    </w:p>
    <w:p>
      <w:pPr>
        <w:spacing w:line="360" w:lineRule="auto"/>
        <w:jc w:val="left"/>
        <w:rPr>
          <w:rFonts w:ascii="宋体" w:hAnsi="宋体"/>
          <w:szCs w:val="21"/>
        </w:rPr>
      </w:pPr>
    </w:p>
    <w:p>
      <w:pPr>
        <w:rPr>
          <w:rFonts w:ascii="宋体" w:hAnsi="宋体"/>
          <w:szCs w:val="21"/>
        </w:rPr>
      </w:pP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ind w:left="420" w:hanging="420" w:hangingChars="200"/>
        <w:rPr>
          <w:rFonts w:ascii="宋体" w:hAnsi="宋体"/>
          <w:szCs w:val="21"/>
        </w:rPr>
      </w:pPr>
      <w:r>
        <w:rPr>
          <w:rFonts w:hint="eastAsia" w:ascii="宋体" w:hAnsi="宋体"/>
          <w:szCs w:val="21"/>
        </w:rPr>
        <w:t>注：</w:t>
      </w:r>
    </w:p>
    <w:p>
      <w:pPr>
        <w:snapToGrid w:val="0"/>
        <w:spacing w:line="360" w:lineRule="auto"/>
        <w:ind w:firstLine="420" w:firstLineChars="200"/>
        <w:rPr>
          <w:rFonts w:ascii="宋体" w:hAnsi="宋体"/>
          <w:szCs w:val="21"/>
        </w:rPr>
      </w:pPr>
      <w:r>
        <w:rPr>
          <w:rFonts w:hint="eastAsia" w:ascii="宋体" w:hAnsi="宋体"/>
          <w:szCs w:val="21"/>
        </w:rPr>
        <w:t>1.辅助说明资料主要包括管理机构的机构设置、职责分工、有关复印证明资料以及</w:t>
      </w:r>
      <w:r>
        <w:rPr>
          <w:rFonts w:hint="eastAsia" w:ascii="宋体" w:hAnsi="宋体" w:cs="宋体"/>
          <w:szCs w:val="21"/>
        </w:rPr>
        <w:t>供应商</w:t>
      </w:r>
      <w:r>
        <w:rPr>
          <w:rFonts w:hint="eastAsia" w:ascii="宋体" w:hAnsi="宋体"/>
          <w:szCs w:val="21"/>
        </w:rPr>
        <w:t>认为有必要提供的资料，拟实施方案等。辅助说明资料格式不做统一规定，由</w:t>
      </w:r>
      <w:r>
        <w:rPr>
          <w:rFonts w:hint="eastAsia" w:ascii="宋体" w:hAnsi="宋体" w:cs="宋体"/>
          <w:szCs w:val="21"/>
        </w:rPr>
        <w:t>供应商</w:t>
      </w:r>
      <w:r>
        <w:rPr>
          <w:rFonts w:hint="eastAsia" w:ascii="宋体" w:hAnsi="宋体"/>
          <w:szCs w:val="21"/>
        </w:rPr>
        <w:t>自行设计。</w:t>
      </w:r>
    </w:p>
    <w:p>
      <w:pPr>
        <w:ind w:firstLine="420" w:firstLineChars="200"/>
        <w:rPr>
          <w:rFonts w:asciiTheme="minorEastAsia" w:hAnsiTheme="minorEastAsia" w:eastAsiaTheme="minorEastAsia"/>
          <w:sz w:val="32"/>
        </w:rPr>
      </w:pPr>
      <w:r>
        <w:t>2</w:t>
      </w:r>
      <w:r>
        <w:rPr>
          <w:rFonts w:hint="eastAsia"/>
        </w:rPr>
        <w:t>．服务项目管理班子配备情况辅助说明资料另附（与响应文件一起装订）。</w:t>
      </w:r>
    </w:p>
    <w:p>
      <w:pPr>
        <w:rPr>
          <w:rFonts w:asciiTheme="minorEastAsia" w:hAnsiTheme="minorEastAsia" w:eastAsiaTheme="minorEastAsia"/>
          <w:sz w:val="32"/>
        </w:rPr>
      </w:pPr>
    </w:p>
    <w:p>
      <w:pPr>
        <w:spacing w:line="360" w:lineRule="auto"/>
        <w:ind w:firstLine="2" w:firstLineChars="1"/>
        <w:rPr>
          <w:rFonts w:ascii="宋体" w:hAnsi="宋体"/>
          <w:szCs w:val="21"/>
        </w:rPr>
      </w:pPr>
      <w:r>
        <w:rPr>
          <w:rFonts w:ascii="宋体" w:hAnsi="宋体"/>
          <w:szCs w:val="21"/>
        </w:rPr>
        <w:t>供应商：（盖单位鲜章）</w:t>
      </w:r>
    </w:p>
    <w:p>
      <w:pPr>
        <w:spacing w:line="360" w:lineRule="auto"/>
        <w:ind w:firstLine="2" w:firstLineChars="1"/>
        <w:rPr>
          <w:rFonts w:ascii="宋体" w:hAnsi="宋体"/>
          <w:szCs w:val="21"/>
        </w:rPr>
      </w:pPr>
      <w:r>
        <w:rPr>
          <w:rFonts w:ascii="宋体" w:hAnsi="宋体"/>
          <w:szCs w:val="21"/>
        </w:rPr>
        <w:t>法定代表人：（签名或签章）</w:t>
      </w:r>
    </w:p>
    <w:p>
      <w:pPr>
        <w:rPr>
          <w:rFonts w:ascii="宋体" w:hAnsi="宋体"/>
          <w:szCs w:val="21"/>
        </w:rPr>
      </w:pPr>
      <w:r>
        <w:rPr>
          <w:rFonts w:ascii="宋体" w:hAnsi="宋体"/>
          <w:szCs w:val="21"/>
        </w:rPr>
        <w:t>年月日</w:t>
      </w:r>
    </w:p>
    <w:p>
      <w:pPr>
        <w:rPr>
          <w:rFonts w:ascii="宋体" w:hAnsi="宋体"/>
          <w:szCs w:val="21"/>
        </w:rPr>
      </w:pPr>
      <w:r>
        <w:rPr>
          <w:rFonts w:ascii="宋体" w:hAnsi="宋体"/>
          <w:szCs w:val="21"/>
        </w:rPr>
        <w:br w:type="page"/>
      </w:r>
    </w:p>
    <w:p>
      <w:pPr>
        <w:rPr>
          <w:rFonts w:asciiTheme="minorEastAsia" w:hAnsiTheme="minorEastAsia" w:eastAsiaTheme="minorEastAsia"/>
          <w:sz w:val="28"/>
          <w:szCs w:val="28"/>
        </w:rPr>
      </w:pPr>
      <w:r>
        <w:rPr>
          <w:rFonts w:asciiTheme="minorEastAsia" w:hAnsiTheme="minorEastAsia" w:eastAsiaTheme="minorEastAsia"/>
          <w:b/>
          <w:sz w:val="28"/>
          <w:szCs w:val="28"/>
        </w:rPr>
        <w:t>格</w:t>
      </w:r>
      <w:bookmarkStart w:id="294" w:name="_Toc441237642"/>
      <w:bookmarkStart w:id="295" w:name="_Toc251137076"/>
      <w:bookmarkStart w:id="296" w:name="_Toc269114319"/>
      <w:r>
        <w:rPr>
          <w:rFonts w:asciiTheme="minorEastAsia" w:hAnsiTheme="minorEastAsia" w:eastAsiaTheme="minorEastAsia"/>
          <w:b/>
          <w:sz w:val="28"/>
          <w:szCs w:val="28"/>
        </w:rPr>
        <w:t>式</w:t>
      </w:r>
      <w:r>
        <w:rPr>
          <w:rFonts w:hint="eastAsia" w:asciiTheme="minorEastAsia" w:hAnsiTheme="minorEastAsia" w:eastAsiaTheme="minorEastAsia"/>
          <w:b/>
          <w:sz w:val="28"/>
          <w:szCs w:val="28"/>
        </w:rPr>
        <w:t>5</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5</w:t>
      </w:r>
      <w:r>
        <w:rPr>
          <w:rFonts w:asciiTheme="minorEastAsia" w:hAnsiTheme="minorEastAsia" w:eastAsiaTheme="minorEastAsia"/>
          <w:b/>
          <w:sz w:val="28"/>
          <w:szCs w:val="28"/>
        </w:rPr>
        <w:t>：</w:t>
      </w:r>
      <w:r>
        <w:rPr>
          <w:rFonts w:hint="eastAsia" w:asciiTheme="minorEastAsia" w:hAnsiTheme="minorEastAsia" w:eastAsiaTheme="minorEastAsia"/>
          <w:b/>
          <w:bCs/>
          <w:sz w:val="28"/>
          <w:szCs w:val="28"/>
        </w:rPr>
        <w:t>项</w:t>
      </w:r>
      <w:bookmarkEnd w:id="294"/>
      <w:bookmarkEnd w:id="295"/>
      <w:bookmarkEnd w:id="296"/>
      <w:r>
        <w:rPr>
          <w:rFonts w:hint="eastAsia" w:asciiTheme="minorEastAsia" w:hAnsiTheme="minorEastAsia" w:eastAsiaTheme="minorEastAsia"/>
          <w:b/>
          <w:bCs/>
          <w:sz w:val="28"/>
          <w:szCs w:val="28"/>
        </w:rPr>
        <w:t>目组织计划</w:t>
      </w:r>
    </w:p>
    <w:p>
      <w:pPr>
        <w:jc w:val="center"/>
        <w:rPr>
          <w:rFonts w:ascii="宋体" w:hAnsi="宋体"/>
          <w:sz w:val="24"/>
        </w:rPr>
      </w:pPr>
      <w:r>
        <w:rPr>
          <w:rFonts w:hint="eastAsia" w:ascii="宋体" w:hAnsi="宋体"/>
          <w:sz w:val="24"/>
        </w:rPr>
        <w:t>要求提供项目组织计划，具体格式由供应商自行设计。</w:t>
      </w:r>
    </w:p>
    <w:p>
      <w:pPr>
        <w:rPr>
          <w:rFonts w:ascii="宋体" w:hAnsi="宋体"/>
          <w:sz w:val="24"/>
        </w:rPr>
      </w:pPr>
    </w:p>
    <w:p>
      <w:pPr>
        <w:rPr>
          <w:rFonts w:ascii="宋体" w:hAnsi="宋体"/>
          <w:sz w:val="24"/>
        </w:rPr>
      </w:pPr>
    </w:p>
    <w:p>
      <w:pPr>
        <w:rPr>
          <w:rFonts w:asciiTheme="minorEastAsia" w:hAnsiTheme="minorEastAsia" w:eastAsiaTheme="minorEastAsia"/>
          <w:sz w:val="32"/>
        </w:rPr>
      </w:pPr>
    </w:p>
    <w:p>
      <w:pPr>
        <w:spacing w:line="360" w:lineRule="auto"/>
        <w:ind w:firstLine="2" w:firstLineChars="1"/>
        <w:rPr>
          <w:rFonts w:ascii="宋体" w:hAnsi="宋体"/>
          <w:szCs w:val="21"/>
        </w:rPr>
      </w:pPr>
      <w:r>
        <w:rPr>
          <w:rFonts w:ascii="宋体" w:hAnsi="宋体"/>
          <w:szCs w:val="21"/>
        </w:rPr>
        <w:t>供应商：（盖单位鲜章）</w:t>
      </w:r>
    </w:p>
    <w:p>
      <w:pPr>
        <w:spacing w:line="360" w:lineRule="auto"/>
        <w:ind w:firstLine="2" w:firstLineChars="1"/>
        <w:rPr>
          <w:rFonts w:ascii="宋体" w:hAnsi="宋体"/>
          <w:szCs w:val="21"/>
        </w:rPr>
      </w:pPr>
      <w:r>
        <w:rPr>
          <w:rFonts w:ascii="宋体" w:hAnsi="宋体"/>
          <w:szCs w:val="21"/>
        </w:rPr>
        <w:t>法定代表人：（签名或签章）</w:t>
      </w:r>
    </w:p>
    <w:p>
      <w:pPr>
        <w:rPr>
          <w:rFonts w:asciiTheme="minorEastAsia" w:hAnsiTheme="minorEastAsia" w:eastAsiaTheme="minorEastAsia"/>
          <w:sz w:val="32"/>
        </w:rPr>
      </w:pPr>
      <w:r>
        <w:rPr>
          <w:rFonts w:ascii="宋体" w:hAnsi="宋体"/>
          <w:szCs w:val="21"/>
        </w:rPr>
        <w:t>年月日</w:t>
      </w: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b/>
          <w:sz w:val="28"/>
          <w:szCs w:val="28"/>
        </w:rPr>
      </w:pPr>
      <w:r>
        <w:rPr>
          <w:rFonts w:asciiTheme="minorEastAsia" w:hAnsiTheme="minorEastAsia" w:eastAsiaTheme="minorEastAsia"/>
          <w:b/>
          <w:sz w:val="28"/>
          <w:szCs w:val="28"/>
        </w:rPr>
        <w:t>格</w:t>
      </w:r>
      <w:bookmarkStart w:id="297" w:name="_Toc441237643"/>
      <w:bookmarkStart w:id="298" w:name="_Toc269114320"/>
      <w:bookmarkStart w:id="299" w:name="_Toc251137077"/>
      <w:r>
        <w:rPr>
          <w:rFonts w:asciiTheme="minorEastAsia" w:hAnsiTheme="minorEastAsia" w:eastAsiaTheme="minorEastAsia"/>
          <w:b/>
          <w:sz w:val="28"/>
          <w:szCs w:val="28"/>
        </w:rPr>
        <w:t>式</w:t>
      </w:r>
      <w:r>
        <w:rPr>
          <w:rFonts w:hint="eastAsia" w:asciiTheme="minorEastAsia" w:hAnsiTheme="minorEastAsia" w:eastAsiaTheme="minorEastAsia"/>
          <w:b/>
          <w:sz w:val="28"/>
          <w:szCs w:val="28"/>
        </w:rPr>
        <w:t>5</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6</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应</w:t>
      </w:r>
      <w:bookmarkEnd w:id="297"/>
      <w:bookmarkEnd w:id="298"/>
      <w:bookmarkEnd w:id="299"/>
      <w:r>
        <w:rPr>
          <w:rFonts w:hint="eastAsia" w:asciiTheme="minorEastAsia" w:hAnsiTheme="minorEastAsia" w:eastAsiaTheme="minorEastAsia"/>
          <w:b/>
          <w:sz w:val="28"/>
          <w:szCs w:val="28"/>
        </w:rPr>
        <w:t>急方案及服务承诺</w:t>
      </w:r>
    </w:p>
    <w:p>
      <w:pPr>
        <w:ind w:firstLine="480" w:firstLineChars="200"/>
        <w:jc w:val="left"/>
        <w:rPr>
          <w:rFonts w:asciiTheme="minorEastAsia" w:hAnsiTheme="minorEastAsia" w:eastAsiaTheme="minorEastAsia"/>
          <w:b/>
          <w:sz w:val="28"/>
          <w:szCs w:val="28"/>
        </w:rPr>
      </w:pPr>
      <w:r>
        <w:rPr>
          <w:rFonts w:hint="eastAsia" w:ascii="宋体" w:hAnsi="宋体"/>
          <w:sz w:val="24"/>
        </w:rPr>
        <w:t>要求提供针对完成本项目的具体应急方案及服务承诺</w:t>
      </w:r>
      <w:r>
        <w:rPr>
          <w:rFonts w:hint="eastAsia" w:hAnsi="宋体"/>
          <w:sz w:val="24"/>
        </w:rPr>
        <w:t>，</w:t>
      </w:r>
      <w:r>
        <w:rPr>
          <w:rFonts w:hint="eastAsia" w:ascii="宋体" w:hAnsi="宋体"/>
          <w:sz w:val="24"/>
        </w:rPr>
        <w:t>具体格式由供应商自行设计。</w:t>
      </w:r>
    </w:p>
    <w:p>
      <w:pPr>
        <w:rPr>
          <w:rFonts w:asciiTheme="minorEastAsia" w:hAnsiTheme="minorEastAsia" w:eastAsiaTheme="minorEastAsia"/>
          <w:sz w:val="32"/>
        </w:rPr>
      </w:pPr>
    </w:p>
    <w:p>
      <w:pPr>
        <w:rPr>
          <w:rFonts w:asciiTheme="minorEastAsia" w:hAnsiTheme="minorEastAsia" w:eastAsiaTheme="minorEastAsia"/>
          <w:sz w:val="32"/>
        </w:rPr>
      </w:pPr>
    </w:p>
    <w:p>
      <w:pPr>
        <w:rPr>
          <w:rFonts w:asciiTheme="minorEastAsia" w:hAnsiTheme="minorEastAsia" w:eastAsiaTheme="minorEastAsia"/>
          <w:sz w:val="32"/>
        </w:rPr>
      </w:pPr>
    </w:p>
    <w:p>
      <w:pPr>
        <w:spacing w:line="360" w:lineRule="auto"/>
        <w:ind w:firstLine="2" w:firstLineChars="1"/>
        <w:rPr>
          <w:rFonts w:ascii="宋体" w:hAnsi="宋体"/>
          <w:szCs w:val="21"/>
        </w:rPr>
      </w:pPr>
      <w:r>
        <w:rPr>
          <w:rFonts w:ascii="宋体" w:hAnsi="宋体"/>
          <w:szCs w:val="21"/>
        </w:rPr>
        <w:t>供应商：（盖单位鲜章）</w:t>
      </w:r>
    </w:p>
    <w:p>
      <w:pPr>
        <w:spacing w:line="360" w:lineRule="auto"/>
        <w:ind w:firstLine="2" w:firstLineChars="1"/>
        <w:rPr>
          <w:rFonts w:ascii="宋体" w:hAnsi="宋体"/>
          <w:szCs w:val="21"/>
        </w:rPr>
      </w:pPr>
      <w:r>
        <w:rPr>
          <w:rFonts w:ascii="宋体" w:hAnsi="宋体"/>
          <w:szCs w:val="21"/>
        </w:rPr>
        <w:t>法定代表人：（签名或签章）</w:t>
      </w:r>
    </w:p>
    <w:p>
      <w:pPr>
        <w:rPr>
          <w:rFonts w:ascii="宋体" w:hAnsi="宋体"/>
          <w:szCs w:val="21"/>
        </w:rPr>
      </w:pPr>
      <w:r>
        <w:rPr>
          <w:rFonts w:ascii="宋体" w:hAnsi="宋体"/>
          <w:szCs w:val="21"/>
        </w:rPr>
        <w:t>年月日</w:t>
      </w:r>
    </w:p>
    <w:p>
      <w:pPr>
        <w:rPr>
          <w:rFonts w:ascii="宋体" w:hAnsi="宋体"/>
          <w:szCs w:val="21"/>
        </w:rPr>
      </w:pPr>
      <w:r>
        <w:rPr>
          <w:rFonts w:ascii="宋体" w:hAnsi="宋体"/>
          <w:szCs w:val="21"/>
        </w:rPr>
        <w:br w:type="page"/>
      </w:r>
    </w:p>
    <w:p>
      <w:pPr>
        <w:rPr>
          <w:rFonts w:asciiTheme="minorEastAsia" w:hAnsiTheme="minorEastAsia" w:eastAsiaTheme="minorEastAsia"/>
          <w:b/>
          <w:sz w:val="28"/>
          <w:szCs w:val="28"/>
        </w:rPr>
      </w:pPr>
      <w:r>
        <w:rPr>
          <w:rFonts w:asciiTheme="minorEastAsia" w:hAnsiTheme="minorEastAsia" w:eastAsiaTheme="minorEastAsia"/>
          <w:b/>
          <w:sz w:val="28"/>
          <w:szCs w:val="28"/>
        </w:rPr>
        <w:t>格</w:t>
      </w:r>
      <w:bookmarkStart w:id="300" w:name="_Toc441237644"/>
      <w:r>
        <w:rPr>
          <w:rFonts w:asciiTheme="minorEastAsia" w:hAnsiTheme="minorEastAsia" w:eastAsiaTheme="minorEastAsia"/>
          <w:b/>
          <w:sz w:val="28"/>
          <w:szCs w:val="28"/>
        </w:rPr>
        <w:t>式</w:t>
      </w:r>
      <w:r>
        <w:rPr>
          <w:rFonts w:hint="eastAsia" w:asciiTheme="minorEastAsia" w:hAnsiTheme="minorEastAsia" w:eastAsiaTheme="minorEastAsia"/>
          <w:b/>
          <w:sz w:val="28"/>
          <w:szCs w:val="28"/>
        </w:rPr>
        <w:t>5</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7</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已完成类似项目简况</w:t>
      </w:r>
    </w:p>
    <w:bookmarkEnd w:id="300"/>
    <w:tbl>
      <w:tblPr>
        <w:tblStyle w:val="32"/>
        <w:tblW w:w="9396"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596"/>
        <w:gridCol w:w="1592"/>
        <w:gridCol w:w="1356"/>
        <w:gridCol w:w="176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cs="宋体"/>
                <w:color w:val="000000"/>
                <w:sz w:val="24"/>
              </w:rPr>
            </w:pPr>
            <w:r>
              <w:rPr>
                <w:rFonts w:hint="eastAsia" w:hAnsi="宋体" w:cs="宋体"/>
                <w:color w:val="000000"/>
                <w:sz w:val="24"/>
              </w:rPr>
              <w:t>业主名称</w:t>
            </w:r>
          </w:p>
        </w:tc>
        <w:tc>
          <w:tcPr>
            <w:tcW w:w="159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cs="宋体"/>
                <w:color w:val="000000"/>
                <w:sz w:val="24"/>
              </w:rPr>
            </w:pPr>
            <w:r>
              <w:rPr>
                <w:rFonts w:hint="eastAsia" w:hAnsi="宋体" w:cs="宋体"/>
                <w:color w:val="000000"/>
                <w:sz w:val="24"/>
              </w:rPr>
              <w:t>项目及规模</w:t>
            </w:r>
          </w:p>
        </w:tc>
        <w:tc>
          <w:tcPr>
            <w:tcW w:w="159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cs="宋体"/>
                <w:color w:val="000000"/>
                <w:sz w:val="24"/>
              </w:rPr>
            </w:pPr>
            <w:r>
              <w:rPr>
                <w:rFonts w:hint="eastAsia" w:hAnsi="宋体" w:cs="宋体"/>
                <w:color w:val="000000"/>
                <w:sz w:val="24"/>
              </w:rPr>
              <w:t>服务范围</w:t>
            </w:r>
          </w:p>
        </w:tc>
        <w:tc>
          <w:tcPr>
            <w:tcW w:w="1356"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cs="宋体"/>
                <w:color w:val="000000"/>
                <w:sz w:val="24"/>
              </w:rPr>
            </w:pPr>
            <w:r>
              <w:rPr>
                <w:rFonts w:hint="eastAsia" w:hAnsi="宋体" w:cs="宋体"/>
                <w:color w:val="000000"/>
                <w:sz w:val="24"/>
              </w:rPr>
              <w:t>项目期间</w:t>
            </w:r>
          </w:p>
        </w:tc>
        <w:tc>
          <w:tcPr>
            <w:tcW w:w="1762"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cs="宋体"/>
                <w:color w:val="000000"/>
                <w:sz w:val="24"/>
              </w:rPr>
            </w:pPr>
            <w:r>
              <w:rPr>
                <w:rFonts w:hint="eastAsia" w:hAnsi="宋体" w:cs="宋体"/>
                <w:color w:val="000000"/>
                <w:sz w:val="24"/>
              </w:rPr>
              <w:t>派驻人数</w:t>
            </w:r>
          </w:p>
        </w:tc>
        <w:tc>
          <w:tcPr>
            <w:tcW w:w="1734"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Ansi="宋体" w:cs="宋体"/>
                <w:color w:val="000000"/>
                <w:sz w:val="24"/>
              </w:rPr>
            </w:pPr>
            <w:r>
              <w:rPr>
                <w:rFonts w:hint="eastAsia" w:hAnsi="宋体" w:cs="宋体"/>
                <w:color w:val="000000"/>
                <w:sz w:val="24"/>
              </w:rPr>
              <w:t>主要工作成绩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6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34"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6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34"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6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34"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6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34"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6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34"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6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34"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59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356"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62"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c>
          <w:tcPr>
            <w:tcW w:w="1734" w:type="dxa"/>
            <w:tcBorders>
              <w:top w:val="single" w:color="auto" w:sz="4" w:space="0"/>
              <w:left w:val="single" w:color="auto" w:sz="4" w:space="0"/>
              <w:bottom w:val="single" w:color="auto" w:sz="4" w:space="0"/>
              <w:right w:val="single" w:color="auto" w:sz="4" w:space="0"/>
            </w:tcBorders>
          </w:tcPr>
          <w:p>
            <w:pPr>
              <w:pStyle w:val="15"/>
              <w:spacing w:line="360" w:lineRule="auto"/>
              <w:jc w:val="center"/>
              <w:rPr>
                <w:rFonts w:hAnsi="宋体" w:cs="宋体"/>
                <w:color w:val="000000"/>
                <w:sz w:val="28"/>
              </w:rPr>
            </w:pPr>
          </w:p>
        </w:tc>
      </w:tr>
    </w:tbl>
    <w:p>
      <w:pPr>
        <w:rPr>
          <w:rFonts w:asciiTheme="minorEastAsia" w:hAnsiTheme="minorEastAsia" w:eastAsiaTheme="minorEastAsia"/>
          <w:b/>
          <w:sz w:val="28"/>
          <w:szCs w:val="28"/>
        </w:rPr>
      </w:pPr>
      <w:r>
        <w:rPr>
          <w:rFonts w:hint="eastAsia" w:ascii="宋体" w:hAnsi="宋体" w:cs="宋体"/>
          <w:b/>
          <w:color w:val="000000"/>
          <w:szCs w:val="21"/>
        </w:rPr>
        <w:t>注：1、本表可扩展；2、须附相关证明文件复印件。</w:t>
      </w:r>
    </w:p>
    <w:p>
      <w:pPr>
        <w:rPr>
          <w:rFonts w:asciiTheme="minorEastAsia" w:hAnsiTheme="minorEastAsia" w:eastAsiaTheme="minorEastAsia"/>
          <w:sz w:val="32"/>
        </w:rPr>
      </w:pPr>
    </w:p>
    <w:p>
      <w:pPr>
        <w:rPr>
          <w:rFonts w:asciiTheme="minorEastAsia" w:hAnsiTheme="minorEastAsia" w:eastAsiaTheme="minorEastAsia"/>
          <w:sz w:val="32"/>
        </w:rPr>
      </w:pPr>
    </w:p>
    <w:p>
      <w:pPr>
        <w:spacing w:line="360" w:lineRule="auto"/>
        <w:ind w:firstLine="2" w:firstLineChars="1"/>
        <w:rPr>
          <w:rFonts w:ascii="宋体" w:hAnsi="宋体"/>
          <w:szCs w:val="21"/>
        </w:rPr>
      </w:pPr>
      <w:r>
        <w:rPr>
          <w:rFonts w:ascii="宋体" w:hAnsi="宋体"/>
          <w:szCs w:val="21"/>
        </w:rPr>
        <w:t>供应商：（盖单位鲜章）</w:t>
      </w:r>
    </w:p>
    <w:p>
      <w:pPr>
        <w:spacing w:line="360" w:lineRule="auto"/>
        <w:ind w:firstLine="2" w:firstLineChars="1"/>
        <w:rPr>
          <w:rFonts w:ascii="宋体" w:hAnsi="宋体"/>
          <w:szCs w:val="21"/>
        </w:rPr>
      </w:pPr>
      <w:r>
        <w:rPr>
          <w:rFonts w:ascii="宋体" w:hAnsi="宋体"/>
          <w:szCs w:val="21"/>
        </w:rPr>
        <w:t>法定代表人：（签名或签章）</w:t>
      </w:r>
    </w:p>
    <w:p>
      <w:pPr>
        <w:rPr>
          <w:rFonts w:ascii="宋体" w:hAnsi="宋体"/>
          <w:szCs w:val="21"/>
        </w:rPr>
      </w:pPr>
      <w:r>
        <w:rPr>
          <w:rFonts w:ascii="宋体" w:hAnsi="宋体"/>
          <w:szCs w:val="21"/>
        </w:rPr>
        <w:t>年月日</w:t>
      </w:r>
    </w:p>
    <w:p>
      <w:pPr>
        <w:rPr>
          <w:rFonts w:ascii="宋体" w:hAnsi="宋体"/>
          <w:szCs w:val="21"/>
        </w:rPr>
      </w:pPr>
      <w:r>
        <w:rPr>
          <w:rFonts w:ascii="宋体" w:hAnsi="宋体"/>
          <w:szCs w:val="21"/>
        </w:rPr>
        <w:br w:type="page"/>
      </w:r>
    </w:p>
    <w:p>
      <w:pPr>
        <w:outlineLvl w:val="1"/>
        <w:rPr>
          <w:rFonts w:asciiTheme="minorEastAsia" w:hAnsiTheme="minorEastAsia" w:eastAsiaTheme="minorEastAsia"/>
          <w:sz w:val="32"/>
        </w:rPr>
      </w:pPr>
      <w:bookmarkStart w:id="301" w:name="_Toc26671"/>
      <w:r>
        <w:rPr>
          <w:b/>
          <w:bCs/>
          <w:sz w:val="32"/>
        </w:rPr>
        <w:t>格</w:t>
      </w:r>
      <w:bookmarkEnd w:id="289"/>
      <w:bookmarkEnd w:id="290"/>
      <w:bookmarkEnd w:id="291"/>
      <w:bookmarkEnd w:id="292"/>
      <w:bookmarkStart w:id="302" w:name="_Toc518651959"/>
      <w:r>
        <w:rPr>
          <w:b/>
          <w:bCs/>
          <w:sz w:val="32"/>
        </w:rPr>
        <w:t>式</w:t>
      </w:r>
      <w:r>
        <w:rPr>
          <w:rFonts w:hint="eastAsia"/>
          <w:b/>
          <w:bCs/>
          <w:sz w:val="32"/>
        </w:rPr>
        <w:t>6 商务文件</w:t>
      </w:r>
      <w:bookmarkEnd w:id="301"/>
    </w:p>
    <w:bookmarkEnd w:id="302"/>
    <w:p>
      <w:pPr>
        <w:spacing w:line="360" w:lineRule="auto"/>
        <w:ind w:firstLine="560" w:firstLineChars="200"/>
        <w:rPr>
          <w:rFonts w:hAnsi="宋体"/>
          <w:b/>
          <w:sz w:val="28"/>
          <w:szCs w:val="28"/>
        </w:rPr>
      </w:pPr>
      <w:r>
        <w:rPr>
          <w:rFonts w:hAnsi="宋体"/>
          <w:b/>
          <w:sz w:val="28"/>
          <w:szCs w:val="28"/>
        </w:rPr>
        <w:t>格式</w:t>
      </w:r>
      <w:r>
        <w:rPr>
          <w:rFonts w:hint="eastAsia" w:hAnsi="宋体"/>
          <w:b/>
          <w:sz w:val="28"/>
          <w:szCs w:val="28"/>
        </w:rPr>
        <w:t>6</w:t>
      </w:r>
      <w:r>
        <w:rPr>
          <w:rFonts w:hAnsi="宋体"/>
          <w:b/>
          <w:sz w:val="28"/>
          <w:szCs w:val="28"/>
        </w:rPr>
        <w:t>-1：</w:t>
      </w:r>
    </w:p>
    <w:p>
      <w:pPr>
        <w:spacing w:line="360" w:lineRule="auto"/>
        <w:ind w:firstLine="560" w:firstLineChars="200"/>
        <w:rPr>
          <w:rFonts w:hAnsi="宋体"/>
          <w:b/>
          <w:sz w:val="28"/>
          <w:szCs w:val="28"/>
        </w:rPr>
      </w:pPr>
    </w:p>
    <w:p>
      <w:pPr>
        <w:spacing w:line="360" w:lineRule="auto"/>
        <w:jc w:val="center"/>
        <w:rPr>
          <w:rFonts w:ascii="宋体" w:hAnsi="宋体"/>
          <w:sz w:val="32"/>
          <w:szCs w:val="32"/>
        </w:rPr>
      </w:pPr>
      <w:r>
        <w:rPr>
          <w:rFonts w:hint="eastAsia" w:ascii="宋体" w:hAnsi="宋体"/>
          <w:sz w:val="32"/>
          <w:szCs w:val="32"/>
        </w:rPr>
        <w:t>★</w:t>
      </w:r>
      <w:r>
        <w:rPr>
          <w:rFonts w:ascii="宋体" w:hAnsi="宋体"/>
          <w:sz w:val="32"/>
          <w:szCs w:val="32"/>
        </w:rPr>
        <w:t>（一）营业执照（</w:t>
      </w:r>
      <w:r>
        <w:rPr>
          <w:rFonts w:hint="eastAsia" w:ascii="宋体" w:hAnsi="宋体"/>
          <w:sz w:val="32"/>
          <w:szCs w:val="32"/>
        </w:rPr>
        <w:t>扫描件</w:t>
      </w:r>
      <w:r>
        <w:rPr>
          <w:rFonts w:ascii="宋体" w:hAnsi="宋体"/>
          <w:sz w:val="32"/>
          <w:szCs w:val="32"/>
        </w:rPr>
        <w:t>）</w:t>
      </w:r>
    </w:p>
    <w:p>
      <w:pPr>
        <w:spacing w:line="360" w:lineRule="auto"/>
        <w:jc w:val="center"/>
        <w:rPr>
          <w:rFonts w:ascii="宋体" w:hAnsi="宋体"/>
          <w:sz w:val="24"/>
        </w:rPr>
      </w:pPr>
    </w:p>
    <w:p>
      <w:pPr>
        <w:spacing w:line="360" w:lineRule="auto"/>
        <w:ind w:firstLine="420" w:firstLineChars="200"/>
        <w:jc w:val="center"/>
        <w:rPr>
          <w:rFonts w:ascii="宋体" w:hAnsi="宋体"/>
        </w:rPr>
      </w:pPr>
      <w:r>
        <w:rPr>
          <w:rFonts w:ascii="宋体" w:hAnsi="宋体"/>
        </w:rPr>
        <w:t>供应商有效的营业执照副本内页：要求清晰反映企业法人年检情况记录和经营范围。</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560" w:firstLineChars="200"/>
        <w:rPr>
          <w:rFonts w:hAnsi="宋体"/>
          <w:b/>
          <w:sz w:val="28"/>
          <w:szCs w:val="28"/>
        </w:rPr>
      </w:pPr>
    </w:p>
    <w:p>
      <w:pPr>
        <w:spacing w:line="360" w:lineRule="auto"/>
        <w:jc w:val="center"/>
        <w:rPr>
          <w:rFonts w:ascii="宋体" w:hAnsi="宋体"/>
          <w:sz w:val="32"/>
          <w:szCs w:val="32"/>
        </w:rPr>
      </w:pPr>
      <w:r>
        <w:rPr>
          <w:rFonts w:hint="eastAsia" w:ascii="宋体" w:hAnsi="宋体"/>
          <w:sz w:val="32"/>
          <w:szCs w:val="32"/>
        </w:rPr>
        <w:t>★</w:t>
      </w:r>
      <w:r>
        <w:rPr>
          <w:rFonts w:ascii="宋体" w:hAnsi="宋体"/>
          <w:sz w:val="32"/>
          <w:szCs w:val="32"/>
        </w:rPr>
        <w:t>（二）组织机构代码证（</w:t>
      </w:r>
      <w:r>
        <w:rPr>
          <w:rFonts w:hint="eastAsia" w:ascii="宋体" w:hAnsi="宋体"/>
          <w:sz w:val="32"/>
          <w:szCs w:val="32"/>
        </w:rPr>
        <w:t>扫描件</w:t>
      </w:r>
      <w:r>
        <w:rPr>
          <w:rFonts w:ascii="宋体" w:hAnsi="宋体"/>
          <w:sz w:val="32"/>
          <w:szCs w:val="32"/>
        </w:rPr>
        <w:t>）</w:t>
      </w:r>
    </w:p>
    <w:p>
      <w:pPr>
        <w:spacing w:line="360" w:lineRule="auto"/>
        <w:ind w:firstLine="420" w:firstLineChars="200"/>
        <w:jc w:val="center"/>
        <w:rPr>
          <w:rFonts w:ascii="宋体" w:hAnsi="宋体"/>
        </w:rPr>
      </w:pPr>
      <w:r>
        <w:rPr>
          <w:rFonts w:ascii="宋体" w:hAnsi="宋体"/>
        </w:rPr>
        <w:t>要求清晰反映企业法人年检情况和经营范围。</w:t>
      </w:r>
    </w:p>
    <w:p>
      <w:pPr>
        <w:spacing w:line="360" w:lineRule="auto"/>
        <w:ind w:firstLine="420" w:firstLineChars="200"/>
        <w:jc w:val="center"/>
        <w:rPr>
          <w:rFonts w:ascii="宋体" w:hAnsi="宋体"/>
        </w:rPr>
      </w:pPr>
    </w:p>
    <w:p>
      <w:pPr>
        <w:spacing w:line="360" w:lineRule="auto"/>
        <w:ind w:firstLine="420" w:firstLineChars="200"/>
        <w:jc w:val="center"/>
        <w:rPr>
          <w:rFonts w:ascii="宋体" w:hAnsi="宋体"/>
        </w:rPr>
      </w:pPr>
    </w:p>
    <w:p>
      <w:pPr>
        <w:spacing w:line="360" w:lineRule="auto"/>
        <w:ind w:firstLine="420" w:firstLineChars="200"/>
        <w:jc w:val="center"/>
        <w:rPr>
          <w:rFonts w:ascii="宋体" w:hAnsi="宋体"/>
        </w:rPr>
      </w:pPr>
    </w:p>
    <w:p>
      <w:pPr>
        <w:spacing w:line="360" w:lineRule="auto"/>
        <w:ind w:firstLine="640" w:firstLineChars="200"/>
        <w:jc w:val="center"/>
        <w:rPr>
          <w:rFonts w:ascii="宋体" w:hAnsi="宋体"/>
          <w:sz w:val="32"/>
          <w:szCs w:val="32"/>
        </w:rPr>
      </w:pPr>
      <w:r>
        <w:rPr>
          <w:rFonts w:hint="eastAsia" w:ascii="宋体" w:hAnsi="宋体"/>
          <w:sz w:val="32"/>
          <w:szCs w:val="32"/>
        </w:rPr>
        <w:t>★</w:t>
      </w:r>
      <w:r>
        <w:rPr>
          <w:rFonts w:ascii="宋体" w:hAnsi="宋体"/>
          <w:sz w:val="32"/>
          <w:szCs w:val="32"/>
        </w:rPr>
        <w:t>（三）税务登记证（</w:t>
      </w:r>
      <w:r>
        <w:rPr>
          <w:rFonts w:hint="eastAsia" w:ascii="宋体" w:hAnsi="宋体"/>
          <w:sz w:val="32"/>
          <w:szCs w:val="32"/>
        </w:rPr>
        <w:t>扫描件</w:t>
      </w:r>
      <w:r>
        <w:rPr>
          <w:rFonts w:ascii="宋体" w:hAnsi="宋体"/>
          <w:sz w:val="32"/>
          <w:szCs w:val="32"/>
        </w:rPr>
        <w:t>）</w:t>
      </w:r>
    </w:p>
    <w:p>
      <w:pPr>
        <w:spacing w:line="360" w:lineRule="auto"/>
        <w:ind w:firstLine="640" w:firstLineChars="200"/>
        <w:jc w:val="center"/>
        <w:rPr>
          <w:rFonts w:ascii="宋体" w:hAnsi="宋体"/>
          <w:sz w:val="32"/>
          <w:szCs w:val="32"/>
        </w:rPr>
      </w:pPr>
    </w:p>
    <w:p>
      <w:pPr>
        <w:spacing w:line="360" w:lineRule="auto"/>
        <w:ind w:firstLine="640" w:firstLineChars="200"/>
        <w:jc w:val="center"/>
        <w:rPr>
          <w:rFonts w:ascii="宋体" w:hAnsi="宋体"/>
          <w:sz w:val="32"/>
          <w:szCs w:val="32"/>
        </w:rPr>
      </w:pPr>
    </w:p>
    <w:p>
      <w:pPr>
        <w:spacing w:line="360" w:lineRule="auto"/>
        <w:ind w:firstLine="640" w:firstLineChars="200"/>
        <w:jc w:val="center"/>
        <w:rPr>
          <w:rFonts w:ascii="宋体" w:hAnsi="宋体"/>
          <w:sz w:val="32"/>
          <w:szCs w:val="32"/>
        </w:rPr>
      </w:pPr>
    </w:p>
    <w:p>
      <w:pPr>
        <w:spacing w:line="360" w:lineRule="auto"/>
        <w:ind w:firstLine="480" w:firstLineChars="200"/>
        <w:jc w:val="center"/>
        <w:rPr>
          <w:rFonts w:asciiTheme="minorEastAsia" w:hAnsiTheme="minorEastAsia" w:eastAsiaTheme="minorEastAsia"/>
          <w:b/>
          <w:sz w:val="24"/>
        </w:rPr>
      </w:pPr>
      <w:r>
        <w:rPr>
          <w:rFonts w:hint="eastAsia" w:asciiTheme="minorEastAsia" w:hAnsiTheme="minorEastAsia" w:eastAsiaTheme="minorEastAsia"/>
          <w:b/>
          <w:sz w:val="24"/>
        </w:rPr>
        <w:t>注：已办理“三证合一”、“五证合一”的供应商提供营业执照即可</w:t>
      </w:r>
    </w:p>
    <w:p>
      <w:pPr>
        <w:rPr>
          <w:rFonts w:asciiTheme="minorEastAsia" w:hAnsiTheme="minorEastAsia" w:eastAsiaTheme="minorEastAsia"/>
          <w:b/>
          <w:sz w:val="24"/>
        </w:rPr>
      </w:pPr>
      <w:r>
        <w:rPr>
          <w:rFonts w:hint="eastAsia" w:asciiTheme="minorEastAsia" w:hAnsiTheme="minorEastAsia" w:eastAsiaTheme="minorEastAsia"/>
          <w:b/>
          <w:sz w:val="24"/>
        </w:rPr>
        <w:br w:type="page"/>
      </w:r>
    </w:p>
    <w:p>
      <w:pPr>
        <w:spacing w:line="360" w:lineRule="auto"/>
        <w:ind w:firstLine="560" w:firstLineChars="200"/>
        <w:jc w:val="left"/>
        <w:rPr>
          <w:rFonts w:hAnsi="宋体"/>
          <w:b/>
          <w:sz w:val="28"/>
          <w:szCs w:val="28"/>
        </w:rPr>
      </w:pPr>
      <w:r>
        <w:rPr>
          <w:rFonts w:hAnsi="宋体"/>
          <w:b/>
          <w:sz w:val="28"/>
          <w:szCs w:val="28"/>
        </w:rPr>
        <w:t>格式</w:t>
      </w:r>
      <w:r>
        <w:rPr>
          <w:rFonts w:hint="eastAsia" w:hAnsi="宋体"/>
          <w:b/>
          <w:sz w:val="28"/>
          <w:szCs w:val="28"/>
        </w:rPr>
        <w:t>6</w:t>
      </w:r>
      <w:r>
        <w:rPr>
          <w:rFonts w:hAnsi="宋体"/>
          <w:b/>
          <w:sz w:val="28"/>
          <w:szCs w:val="28"/>
        </w:rPr>
        <w:t>-2：</w:t>
      </w:r>
    </w:p>
    <w:p>
      <w:pPr>
        <w:spacing w:line="360" w:lineRule="auto"/>
        <w:jc w:val="center"/>
        <w:rPr>
          <w:rFonts w:ascii="宋体" w:hAnsi="宋体"/>
          <w:sz w:val="32"/>
          <w:szCs w:val="32"/>
        </w:rPr>
      </w:pPr>
      <w:r>
        <w:rPr>
          <w:rFonts w:ascii="宋体" w:hAnsi="宋体"/>
          <w:sz w:val="32"/>
          <w:szCs w:val="32"/>
        </w:rPr>
        <w:t>法定代表人资格证明书</w:t>
      </w:r>
    </w:p>
    <w:p>
      <w:pPr>
        <w:spacing w:line="360" w:lineRule="auto"/>
        <w:jc w:val="center"/>
        <w:rPr>
          <w:rFonts w:ascii="宋体" w:hAnsi="宋体"/>
          <w:b/>
          <w:sz w:val="30"/>
          <w:szCs w:val="30"/>
        </w:rPr>
      </w:pPr>
    </w:p>
    <w:p>
      <w:pPr>
        <w:spacing w:line="360" w:lineRule="auto"/>
        <w:rPr>
          <w:rFonts w:ascii="宋体" w:hAnsi="宋体"/>
          <w:szCs w:val="21"/>
          <w:u w:val="single"/>
        </w:rPr>
      </w:pPr>
      <w:r>
        <w:rPr>
          <w:rFonts w:ascii="宋体" w:hAnsi="宋体"/>
          <w:szCs w:val="21"/>
        </w:rPr>
        <w:t>供应商名称：</w:t>
      </w:r>
    </w:p>
    <w:p>
      <w:pPr>
        <w:spacing w:line="360" w:lineRule="auto"/>
        <w:rPr>
          <w:rFonts w:ascii="宋体" w:hAnsi="宋体"/>
          <w:szCs w:val="21"/>
          <w:u w:val="single"/>
        </w:rPr>
      </w:pPr>
      <w:r>
        <w:rPr>
          <w:rFonts w:ascii="宋体" w:hAnsi="宋体"/>
          <w:szCs w:val="21"/>
        </w:rPr>
        <w:t>单位性质：</w:t>
      </w:r>
    </w:p>
    <w:p>
      <w:pPr>
        <w:spacing w:line="360" w:lineRule="auto"/>
        <w:rPr>
          <w:rFonts w:ascii="宋体" w:hAnsi="宋体"/>
          <w:szCs w:val="21"/>
        </w:rPr>
      </w:pPr>
      <w:r>
        <w:rPr>
          <w:rFonts w:ascii="宋体" w:hAnsi="宋体"/>
          <w:szCs w:val="21"/>
        </w:rPr>
        <w:t>成立时间：年月日</w:t>
      </w:r>
    </w:p>
    <w:p>
      <w:pPr>
        <w:spacing w:line="360" w:lineRule="auto"/>
        <w:rPr>
          <w:rFonts w:ascii="宋体" w:hAnsi="宋体"/>
          <w:szCs w:val="21"/>
          <w:u w:val="single"/>
        </w:rPr>
      </w:pPr>
      <w:r>
        <w:rPr>
          <w:rFonts w:ascii="宋体" w:hAnsi="宋体"/>
          <w:szCs w:val="21"/>
        </w:rPr>
        <w:t>经营期限：</w:t>
      </w:r>
    </w:p>
    <w:p>
      <w:pPr>
        <w:spacing w:line="360" w:lineRule="auto"/>
        <w:rPr>
          <w:rFonts w:ascii="宋体" w:hAnsi="宋体"/>
          <w:szCs w:val="21"/>
          <w:u w:val="single"/>
        </w:rPr>
      </w:pPr>
      <w:r>
        <w:rPr>
          <w:rFonts w:ascii="宋体" w:hAnsi="宋体"/>
          <w:szCs w:val="21"/>
        </w:rPr>
        <w:t>姓名：性别：年龄：职务：</w:t>
      </w:r>
    </w:p>
    <w:p>
      <w:pPr>
        <w:spacing w:line="360" w:lineRule="auto"/>
        <w:rPr>
          <w:rFonts w:ascii="宋体" w:hAnsi="宋体"/>
          <w:szCs w:val="21"/>
        </w:rPr>
      </w:pPr>
      <w:r>
        <w:rPr>
          <w:rFonts w:ascii="宋体" w:hAnsi="宋体"/>
          <w:szCs w:val="21"/>
        </w:rPr>
        <w:t>系</w:t>
      </w:r>
      <w:r>
        <w:rPr>
          <w:rFonts w:ascii="宋体" w:hAnsi="宋体"/>
          <w:szCs w:val="21"/>
          <w:u w:val="single"/>
        </w:rPr>
        <w:t>（供应商名称）</w:t>
      </w:r>
      <w:r>
        <w:rPr>
          <w:rFonts w:ascii="宋体" w:hAnsi="宋体"/>
          <w:szCs w:val="21"/>
        </w:rPr>
        <w:t>的法定代表人。</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ind w:left="3780" w:leftChars="1800"/>
        <w:rPr>
          <w:rFonts w:ascii="宋体" w:hAnsi="宋体"/>
          <w:szCs w:val="21"/>
        </w:rPr>
      </w:pPr>
      <w:r>
        <w:rPr>
          <w:rFonts w:ascii="宋体" w:hAnsi="宋体"/>
          <w:szCs w:val="21"/>
        </w:rPr>
        <w:t>供应商：（盖单位鲜章）</w:t>
      </w:r>
    </w:p>
    <w:p>
      <w:pPr>
        <w:spacing w:line="360" w:lineRule="auto"/>
        <w:ind w:left="3780" w:leftChars="1800" w:firstLine="105" w:firstLineChars="50"/>
        <w:rPr>
          <w:rFonts w:ascii="宋体" w:hAnsi="宋体"/>
          <w:szCs w:val="21"/>
        </w:rPr>
      </w:pPr>
      <w:r>
        <w:rPr>
          <w:rFonts w:ascii="宋体" w:hAnsi="宋体"/>
          <w:szCs w:val="21"/>
        </w:rPr>
        <w:t>年月日</w:t>
      </w:r>
    </w:p>
    <w:p>
      <w:pPr>
        <w:spacing w:line="360" w:lineRule="auto"/>
        <w:rPr>
          <w:rFonts w:ascii="宋体" w:hAnsi="宋体"/>
          <w:szCs w:val="21"/>
        </w:rPr>
      </w:pPr>
      <w:r>
        <w:rPr>
          <w:rFonts w:hint="eastAsia" w:ascii="宋体" w:hAnsi="宋体"/>
          <w:szCs w:val="21"/>
        </w:rPr>
        <w:t>附法定代表人身份证扫描件：</w:t>
      </w:r>
    </w:p>
    <w:p>
      <w:pPr>
        <w:rPr>
          <w:rFonts w:ascii="宋体" w:hAnsi="宋体"/>
          <w:szCs w:val="21"/>
        </w:rPr>
      </w:pPr>
      <w:r>
        <w:rPr>
          <w:rFonts w:hint="eastAsia" w:ascii="宋体" w:hAnsi="宋体"/>
          <w:szCs w:val="21"/>
        </w:rPr>
        <w:br w:type="page"/>
      </w:r>
    </w:p>
    <w:p>
      <w:pPr>
        <w:spacing w:line="360" w:lineRule="auto"/>
        <w:ind w:firstLine="560" w:firstLineChars="200"/>
        <w:rPr>
          <w:rFonts w:hAnsi="宋体"/>
          <w:b/>
          <w:sz w:val="28"/>
          <w:szCs w:val="28"/>
        </w:rPr>
      </w:pPr>
      <w:r>
        <w:rPr>
          <w:rFonts w:hAnsi="宋体"/>
          <w:b/>
          <w:sz w:val="28"/>
          <w:szCs w:val="28"/>
        </w:rPr>
        <w:t>格式</w:t>
      </w:r>
      <w:r>
        <w:rPr>
          <w:rFonts w:hint="eastAsia" w:hAnsi="宋体"/>
          <w:b/>
          <w:sz w:val="28"/>
          <w:szCs w:val="28"/>
        </w:rPr>
        <w:t>6</w:t>
      </w:r>
      <w:r>
        <w:rPr>
          <w:rFonts w:hAnsi="宋体"/>
          <w:b/>
          <w:sz w:val="28"/>
          <w:szCs w:val="28"/>
        </w:rPr>
        <w:t>-3：</w:t>
      </w:r>
    </w:p>
    <w:p>
      <w:pPr>
        <w:spacing w:line="360" w:lineRule="auto"/>
        <w:jc w:val="center"/>
        <w:rPr>
          <w:rFonts w:ascii="宋体" w:hAnsi="宋体"/>
          <w:sz w:val="32"/>
          <w:szCs w:val="32"/>
        </w:rPr>
      </w:pPr>
      <w:r>
        <w:rPr>
          <w:rFonts w:ascii="宋体" w:hAnsi="宋体"/>
          <w:sz w:val="32"/>
          <w:szCs w:val="32"/>
        </w:rPr>
        <w:t>法定代表人授权委托书</w:t>
      </w:r>
    </w:p>
    <w:p>
      <w:pPr>
        <w:spacing w:line="360" w:lineRule="auto"/>
        <w:rPr>
          <w:rFonts w:ascii="宋体" w:hAnsi="宋体"/>
          <w:szCs w:val="21"/>
          <w:u w:val="single"/>
        </w:rPr>
      </w:pPr>
      <w:r>
        <w:rPr>
          <w:rFonts w:ascii="宋体" w:hAnsi="宋体"/>
          <w:szCs w:val="21"/>
        </w:rPr>
        <w:t>致：</w:t>
      </w:r>
      <w:r>
        <w:rPr>
          <w:rFonts w:hint="eastAsia" w:ascii="宋体" w:hAnsi="宋体"/>
          <w:szCs w:val="21"/>
          <w:u w:val="single"/>
        </w:rPr>
        <w:t>云南省政府采购和出让中心</w:t>
      </w:r>
    </w:p>
    <w:p>
      <w:pPr>
        <w:spacing w:line="360" w:lineRule="auto"/>
        <w:ind w:firstLine="420" w:firstLineChars="200"/>
        <w:rPr>
          <w:rFonts w:ascii="宋体" w:hAnsi="宋体"/>
          <w:szCs w:val="21"/>
        </w:rPr>
      </w:pPr>
      <w:r>
        <w:rPr>
          <w:rFonts w:ascii="宋体" w:hAnsi="宋体"/>
          <w:szCs w:val="21"/>
        </w:rPr>
        <w:t>本授权书声明：</w:t>
      </w:r>
      <w:r>
        <w:rPr>
          <w:rFonts w:ascii="宋体" w:hAnsi="宋体"/>
          <w:szCs w:val="21"/>
          <w:u w:val="single"/>
        </w:rPr>
        <w:t xml:space="preserve">       （供应商全称）     </w:t>
      </w:r>
      <w:r>
        <w:rPr>
          <w:rFonts w:ascii="宋体" w:hAnsi="宋体"/>
          <w:szCs w:val="21"/>
        </w:rPr>
        <w:t>的法定代表人代表本公司授权</w:t>
      </w:r>
      <w:r>
        <w:rPr>
          <w:rFonts w:ascii="宋体" w:hAnsi="宋体"/>
          <w:szCs w:val="21"/>
          <w:u w:val="single"/>
        </w:rPr>
        <w:t xml:space="preserve">   （委托代理人姓名）   </w:t>
      </w:r>
      <w:r>
        <w:rPr>
          <w:rFonts w:ascii="宋体" w:hAnsi="宋体"/>
          <w:szCs w:val="21"/>
        </w:rPr>
        <w:t>为本公司合法代理人，以本单位名义亲自出席参加贵方组织的</w:t>
      </w:r>
      <w:r>
        <w:rPr>
          <w:rFonts w:ascii="宋体" w:hAnsi="宋体"/>
          <w:szCs w:val="21"/>
          <w:u w:val="single"/>
        </w:rPr>
        <w:t xml:space="preserve">    （采购项目名称）    </w:t>
      </w:r>
      <w:r>
        <w:rPr>
          <w:rFonts w:ascii="宋体" w:hAnsi="宋体"/>
          <w:szCs w:val="21"/>
        </w:rPr>
        <w:t>项目（项目编号：）的磋商。代理人在本项目磋商过程中所签署的一切文件和处理与之有关的一切事务，我方均予承认。</w:t>
      </w:r>
    </w:p>
    <w:p>
      <w:pPr>
        <w:spacing w:line="360" w:lineRule="auto"/>
        <w:ind w:firstLine="420" w:firstLineChars="200"/>
        <w:rPr>
          <w:rFonts w:ascii="宋体" w:hAnsi="宋体"/>
          <w:szCs w:val="21"/>
        </w:rPr>
      </w:pPr>
      <w:r>
        <w:rPr>
          <w:rFonts w:ascii="宋体" w:hAnsi="宋体"/>
          <w:szCs w:val="21"/>
        </w:rPr>
        <w:t>代理人无转委托权。</w:t>
      </w:r>
    </w:p>
    <w:p>
      <w:pPr>
        <w:spacing w:line="360" w:lineRule="auto"/>
        <w:ind w:firstLine="420" w:firstLineChars="200"/>
        <w:rPr>
          <w:rFonts w:ascii="宋体" w:hAnsi="宋体"/>
          <w:szCs w:val="21"/>
        </w:rPr>
      </w:pPr>
    </w:p>
    <w:p>
      <w:pPr>
        <w:spacing w:line="360" w:lineRule="auto"/>
        <w:ind w:firstLine="420" w:firstLineChars="200"/>
        <w:rPr>
          <w:rFonts w:ascii="宋体" w:hAnsi="宋体"/>
          <w:b/>
          <w:szCs w:val="21"/>
        </w:rPr>
      </w:pPr>
      <w:r>
        <w:rPr>
          <w:rFonts w:ascii="宋体" w:hAnsi="宋体"/>
          <w:b/>
          <w:szCs w:val="21"/>
        </w:rPr>
        <w:t>供  应  商：</w:t>
      </w:r>
      <w:r>
        <w:rPr>
          <w:rFonts w:ascii="宋体" w:hAnsi="宋体"/>
          <w:b/>
          <w:szCs w:val="21"/>
          <w:u w:val="single"/>
        </w:rPr>
        <w:t>（全称）</w:t>
      </w:r>
      <w:r>
        <w:rPr>
          <w:rFonts w:ascii="宋体" w:hAnsi="宋体"/>
          <w:b/>
          <w:szCs w:val="21"/>
        </w:rPr>
        <w:t>（盖单位鲜章）</w:t>
      </w:r>
    </w:p>
    <w:p>
      <w:pPr>
        <w:spacing w:line="360" w:lineRule="auto"/>
        <w:ind w:firstLine="420" w:firstLineChars="200"/>
        <w:rPr>
          <w:rFonts w:ascii="宋体" w:hAnsi="宋体"/>
          <w:b/>
          <w:szCs w:val="21"/>
        </w:rPr>
      </w:pPr>
    </w:p>
    <w:p>
      <w:pPr>
        <w:spacing w:line="360" w:lineRule="auto"/>
        <w:ind w:firstLine="420" w:firstLineChars="200"/>
        <w:rPr>
          <w:rFonts w:ascii="宋体" w:hAnsi="宋体"/>
          <w:b/>
          <w:szCs w:val="21"/>
        </w:rPr>
      </w:pPr>
      <w:r>
        <w:rPr>
          <w:rFonts w:ascii="宋体" w:hAnsi="宋体"/>
          <w:b/>
          <w:szCs w:val="21"/>
        </w:rPr>
        <w:t>法定代表人：（签名或签章）</w:t>
      </w:r>
    </w:p>
    <w:p>
      <w:pPr>
        <w:spacing w:line="360" w:lineRule="auto"/>
        <w:ind w:firstLine="420" w:firstLineChars="200"/>
        <w:rPr>
          <w:rFonts w:ascii="宋体" w:hAnsi="宋体"/>
          <w:szCs w:val="21"/>
          <w:u w:val="single"/>
        </w:rPr>
      </w:pPr>
      <w:r>
        <w:rPr>
          <w:rFonts w:ascii="宋体" w:hAnsi="宋体"/>
          <w:szCs w:val="21"/>
        </w:rPr>
        <w:t>法定代表人身份证号码：</w:t>
      </w:r>
    </w:p>
    <w:p>
      <w:pPr>
        <w:spacing w:line="360" w:lineRule="auto"/>
        <w:ind w:firstLine="420" w:firstLineChars="200"/>
        <w:rPr>
          <w:rFonts w:ascii="宋体" w:hAnsi="宋体"/>
          <w:szCs w:val="21"/>
        </w:rPr>
      </w:pPr>
    </w:p>
    <w:p>
      <w:pPr>
        <w:spacing w:line="360" w:lineRule="auto"/>
        <w:ind w:firstLine="420" w:firstLineChars="200"/>
        <w:rPr>
          <w:rFonts w:ascii="宋体" w:hAnsi="宋体"/>
          <w:b/>
          <w:szCs w:val="21"/>
          <w:u w:val="single"/>
        </w:rPr>
      </w:pPr>
      <w:r>
        <w:rPr>
          <w:rFonts w:ascii="宋体" w:hAnsi="宋体"/>
          <w:b/>
          <w:szCs w:val="21"/>
        </w:rPr>
        <w:t>委托代理人</w:t>
      </w:r>
      <w:r>
        <w:rPr>
          <w:rFonts w:hint="eastAsia" w:ascii="宋体" w:hAnsi="宋体"/>
          <w:b/>
          <w:szCs w:val="21"/>
        </w:rPr>
        <w:t>姓名</w:t>
      </w:r>
      <w:r>
        <w:rPr>
          <w:rFonts w:ascii="宋体" w:hAnsi="宋体"/>
          <w:b/>
          <w:szCs w:val="21"/>
        </w:rPr>
        <w:t>：</w:t>
      </w:r>
    </w:p>
    <w:p>
      <w:pPr>
        <w:spacing w:line="360" w:lineRule="auto"/>
        <w:ind w:firstLine="420" w:firstLineChars="200"/>
        <w:rPr>
          <w:rFonts w:ascii="宋体" w:hAnsi="宋体"/>
          <w:szCs w:val="21"/>
          <w:u w:val="single"/>
        </w:rPr>
      </w:pPr>
      <w:r>
        <w:rPr>
          <w:rFonts w:ascii="宋体" w:hAnsi="宋体"/>
          <w:szCs w:val="21"/>
        </w:rPr>
        <w:t>职      务：</w:t>
      </w:r>
    </w:p>
    <w:p>
      <w:pPr>
        <w:spacing w:line="360" w:lineRule="auto"/>
        <w:ind w:firstLine="420" w:firstLineChars="200"/>
        <w:rPr>
          <w:rFonts w:ascii="宋体" w:hAnsi="宋体"/>
          <w:szCs w:val="21"/>
          <w:u w:val="single"/>
        </w:rPr>
      </w:pPr>
      <w:r>
        <w:rPr>
          <w:rFonts w:ascii="宋体" w:hAnsi="宋体"/>
          <w:szCs w:val="21"/>
        </w:rPr>
        <w:t>代理人身份证号码：</w:t>
      </w:r>
    </w:p>
    <w:p>
      <w:pPr>
        <w:spacing w:line="360" w:lineRule="auto"/>
        <w:ind w:firstLine="420" w:firstLineChars="200"/>
        <w:rPr>
          <w:rFonts w:ascii="宋体" w:hAnsi="宋体"/>
          <w:szCs w:val="21"/>
          <w:u w:val="single"/>
        </w:rPr>
      </w:pPr>
    </w:p>
    <w:p>
      <w:pPr>
        <w:spacing w:line="360" w:lineRule="auto"/>
        <w:ind w:firstLine="420" w:firstLineChars="200"/>
        <w:rPr>
          <w:rFonts w:ascii="宋体" w:hAnsi="宋体"/>
          <w:szCs w:val="21"/>
        </w:rPr>
      </w:pPr>
      <w:r>
        <w:rPr>
          <w:rFonts w:ascii="宋体" w:hAnsi="宋体"/>
          <w:szCs w:val="21"/>
        </w:rPr>
        <w:t>年月日</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u w:val="single"/>
        </w:rPr>
      </w:pPr>
      <w:r>
        <w:rPr>
          <w:rFonts w:ascii="宋体" w:hAnsi="宋体"/>
          <w:szCs w:val="21"/>
        </w:rPr>
        <w:t>附：委托代理人详细地址：</w:t>
      </w:r>
    </w:p>
    <w:p>
      <w:pPr>
        <w:spacing w:line="360" w:lineRule="auto"/>
        <w:ind w:firstLine="420" w:firstLineChars="200"/>
        <w:rPr>
          <w:rFonts w:ascii="宋体" w:hAnsi="宋体"/>
          <w:szCs w:val="21"/>
          <w:u w:val="single"/>
        </w:rPr>
      </w:pPr>
      <w:r>
        <w:rPr>
          <w:rFonts w:ascii="宋体" w:hAnsi="宋体"/>
          <w:szCs w:val="21"/>
        </w:rPr>
        <w:t xml:space="preserve">    电话：</w:t>
      </w:r>
    </w:p>
    <w:p>
      <w:pPr>
        <w:spacing w:line="360" w:lineRule="auto"/>
        <w:ind w:firstLine="420" w:firstLineChars="200"/>
        <w:rPr>
          <w:rFonts w:ascii="宋体" w:hAnsi="宋体"/>
          <w:szCs w:val="21"/>
        </w:rPr>
      </w:pPr>
    </w:p>
    <w:p>
      <w:pPr>
        <w:spacing w:line="360" w:lineRule="auto"/>
        <w:ind w:firstLine="420" w:firstLineChars="200"/>
        <w:rPr>
          <w:rFonts w:ascii="宋体" w:hAnsi="宋体"/>
          <w:b/>
          <w:szCs w:val="21"/>
        </w:rPr>
      </w:pPr>
      <w:r>
        <w:rPr>
          <w:rFonts w:ascii="宋体" w:hAnsi="宋体"/>
          <w:b/>
          <w:szCs w:val="21"/>
        </w:rPr>
        <w:t>注：代理人出席磋商会时，应提供本人身份证（如非中国国籍应提供护照）原件交由磋商小组核验。</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附委托代理人身份证扫描件：</w:t>
      </w:r>
    </w:p>
    <w:p>
      <w:pPr>
        <w:rPr>
          <w:rFonts w:ascii="宋体"/>
          <w:color w:val="000000"/>
          <w:szCs w:val="21"/>
        </w:rPr>
        <w:sectPr>
          <w:headerReference r:id="rId9" w:type="default"/>
          <w:pgSz w:w="11906" w:h="16838"/>
          <w:pgMar w:top="1418" w:right="1134" w:bottom="1134" w:left="1418" w:header="935" w:footer="720" w:gutter="0"/>
          <w:cols w:space="720" w:num="1"/>
          <w:docGrid w:type="linesAndChars" w:linePitch="331" w:charSpace="0"/>
        </w:sectPr>
      </w:pPr>
    </w:p>
    <w:bookmarkEnd w:id="287"/>
    <w:p>
      <w:pPr>
        <w:spacing w:line="360" w:lineRule="auto"/>
        <w:ind w:firstLine="560" w:firstLineChars="200"/>
        <w:rPr>
          <w:rFonts w:ascii="宋体" w:hAnsi="宋体"/>
          <w:szCs w:val="21"/>
        </w:rPr>
      </w:pPr>
      <w:r>
        <w:rPr>
          <w:rFonts w:hint="eastAsia" w:hAnsi="宋体"/>
          <w:b/>
          <w:sz w:val="28"/>
          <w:szCs w:val="28"/>
        </w:rPr>
        <w:t>格式6-4：</w:t>
      </w:r>
    </w:p>
    <w:p>
      <w:pPr>
        <w:spacing w:line="360" w:lineRule="auto"/>
        <w:jc w:val="center"/>
        <w:rPr>
          <w:rFonts w:ascii="宋体"/>
          <w:b/>
          <w:bCs/>
          <w:color w:val="000000"/>
          <w:sz w:val="32"/>
          <w:szCs w:val="32"/>
        </w:rPr>
      </w:pPr>
      <w:r>
        <w:rPr>
          <w:rFonts w:hint="eastAsia" w:ascii="宋体"/>
          <w:b/>
          <w:bCs/>
          <w:color w:val="000000"/>
          <w:sz w:val="32"/>
          <w:szCs w:val="32"/>
        </w:rPr>
        <w:t>供应商的资格声明</w:t>
      </w:r>
    </w:p>
    <w:p>
      <w:pPr>
        <w:numPr>
          <w:ilvl w:val="0"/>
          <w:numId w:val="11"/>
        </w:numPr>
        <w:spacing w:before="156" w:beforeLines="50" w:line="360" w:lineRule="auto"/>
        <w:ind w:left="357" w:hanging="357"/>
        <w:rPr>
          <w:rFonts w:ascii="宋体" w:hAnsi="宋体"/>
          <w:color w:val="000000"/>
          <w:szCs w:val="21"/>
        </w:rPr>
      </w:pPr>
      <w:r>
        <w:rPr>
          <w:rFonts w:hint="eastAsia" w:ascii="宋体" w:hAnsi="宋体"/>
          <w:color w:val="000000"/>
          <w:szCs w:val="21"/>
        </w:rPr>
        <w:t>名称及概况：</w:t>
      </w:r>
    </w:p>
    <w:p>
      <w:pPr>
        <w:numPr>
          <w:ilvl w:val="1"/>
          <w:numId w:val="11"/>
        </w:numPr>
        <w:spacing w:line="360" w:lineRule="auto"/>
        <w:rPr>
          <w:rFonts w:ascii="宋体" w:hAnsi="宋体"/>
          <w:color w:val="000000"/>
          <w:szCs w:val="21"/>
        </w:rPr>
      </w:pPr>
      <w:r>
        <w:rPr>
          <w:rFonts w:hint="eastAsia" w:ascii="宋体" w:hAnsi="宋体"/>
          <w:color w:val="000000"/>
          <w:szCs w:val="21"/>
        </w:rPr>
        <w:t>供应商名称：</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numPr>
          <w:ilvl w:val="1"/>
          <w:numId w:val="11"/>
        </w:numPr>
        <w:spacing w:line="360" w:lineRule="auto"/>
        <w:rPr>
          <w:rFonts w:ascii="宋体" w:hAnsi="宋体"/>
          <w:color w:val="000000"/>
          <w:szCs w:val="21"/>
        </w:rPr>
      </w:pPr>
      <w:r>
        <w:rPr>
          <w:rFonts w:hint="eastAsia" w:ascii="宋体" w:hAnsi="宋体"/>
          <w:color w:val="000000"/>
          <w:szCs w:val="21"/>
        </w:rPr>
        <w:t>总部地址：</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br w:type="textWrapping"/>
      </w:r>
      <w:r>
        <w:rPr>
          <w:rFonts w:hint="eastAsia" w:ascii="宋体" w:hAnsi="宋体"/>
          <w:color w:val="000000"/>
          <w:szCs w:val="21"/>
        </w:rPr>
        <w:t>电传／传真／电话号码：</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numPr>
          <w:ilvl w:val="1"/>
          <w:numId w:val="11"/>
        </w:numPr>
        <w:spacing w:line="360" w:lineRule="auto"/>
        <w:rPr>
          <w:rFonts w:ascii="宋体" w:hAnsi="宋体"/>
          <w:color w:val="000000"/>
          <w:szCs w:val="21"/>
        </w:rPr>
      </w:pPr>
      <w:r>
        <w:rPr>
          <w:rFonts w:hint="eastAsia" w:ascii="宋体" w:hAnsi="宋体"/>
          <w:color w:val="000000"/>
          <w:szCs w:val="21"/>
        </w:rPr>
        <w:t>成立和／或注册日期：</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numPr>
          <w:ilvl w:val="1"/>
          <w:numId w:val="11"/>
        </w:numPr>
        <w:spacing w:line="360" w:lineRule="auto"/>
        <w:rPr>
          <w:rFonts w:ascii="宋体" w:hAnsi="宋体"/>
          <w:color w:val="000000"/>
          <w:szCs w:val="21"/>
        </w:rPr>
      </w:pPr>
      <w:r>
        <w:rPr>
          <w:rFonts w:hint="eastAsia" w:ascii="宋体" w:hAnsi="宋体"/>
          <w:color w:val="000000"/>
          <w:szCs w:val="21"/>
        </w:rPr>
        <w:t>实收资本：</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numPr>
          <w:ilvl w:val="1"/>
          <w:numId w:val="11"/>
        </w:numPr>
        <w:spacing w:line="360" w:lineRule="auto"/>
        <w:rPr>
          <w:rFonts w:ascii="宋体" w:hAnsi="宋体"/>
          <w:color w:val="000000"/>
          <w:szCs w:val="21"/>
        </w:rPr>
      </w:pPr>
      <w:r>
        <w:rPr>
          <w:rFonts w:hint="eastAsia" w:ascii="宋体" w:hAnsi="宋体"/>
          <w:color w:val="000000"/>
          <w:szCs w:val="21"/>
        </w:rPr>
        <w:t>近期资产负债表(到</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hint="eastAsia" w:ascii="宋体" w:hAnsi="宋体"/>
          <w:color w:val="000000"/>
          <w:szCs w:val="21"/>
        </w:rPr>
        <w:t>年</w:t>
      </w:r>
      <w:r>
        <w:rPr>
          <w:rFonts w:ascii="宋体" w:hAnsi="宋体"/>
          <w:color w:val="000000"/>
          <w:szCs w:val="21"/>
          <w:u w:val="single"/>
        </w:rPr>
        <w:tab/>
      </w:r>
      <w:r>
        <w:rPr>
          <w:rFonts w:ascii="宋体" w:hAnsi="宋体"/>
          <w:color w:val="000000"/>
          <w:szCs w:val="21"/>
          <w:u w:val="single"/>
        </w:rPr>
        <w:tab/>
      </w:r>
      <w:r>
        <w:rPr>
          <w:rFonts w:hint="eastAsia" w:ascii="宋体" w:hAnsi="宋体"/>
          <w:color w:val="000000"/>
          <w:szCs w:val="21"/>
        </w:rPr>
        <w:t>月</w:t>
      </w:r>
      <w:r>
        <w:rPr>
          <w:rFonts w:ascii="宋体" w:hAnsi="宋体"/>
          <w:color w:val="000000"/>
          <w:szCs w:val="21"/>
          <w:u w:val="single"/>
        </w:rPr>
        <w:tab/>
      </w:r>
      <w:r>
        <w:rPr>
          <w:rFonts w:ascii="宋体" w:hAnsi="宋体"/>
          <w:color w:val="000000"/>
          <w:szCs w:val="21"/>
          <w:u w:val="single"/>
        </w:rPr>
        <w:tab/>
      </w:r>
      <w:r>
        <w:rPr>
          <w:rFonts w:hint="eastAsia" w:ascii="宋体" w:hAnsi="宋体"/>
          <w:color w:val="000000"/>
          <w:szCs w:val="21"/>
        </w:rPr>
        <w:t>日止)</w:t>
      </w:r>
    </w:p>
    <w:p>
      <w:pPr>
        <w:spacing w:line="360" w:lineRule="auto"/>
        <w:ind w:left="840"/>
        <w:rPr>
          <w:rFonts w:ascii="宋体" w:hAnsi="宋体"/>
          <w:color w:val="000000"/>
          <w:szCs w:val="21"/>
          <w:u w:val="single"/>
        </w:rPr>
      </w:pPr>
      <w:r>
        <w:rPr>
          <w:rFonts w:hint="eastAsia" w:ascii="宋体" w:hAnsi="宋体"/>
          <w:color w:val="000000"/>
          <w:szCs w:val="21"/>
        </w:rPr>
        <w:t>①固定资产:</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line="360" w:lineRule="auto"/>
        <w:ind w:left="840"/>
        <w:rPr>
          <w:rFonts w:ascii="宋体" w:hAnsi="宋体"/>
          <w:color w:val="000000"/>
          <w:szCs w:val="21"/>
        </w:rPr>
      </w:pPr>
      <w:r>
        <w:rPr>
          <w:rFonts w:hint="eastAsia" w:ascii="宋体" w:hAnsi="宋体"/>
          <w:color w:val="000000"/>
          <w:szCs w:val="21"/>
        </w:rPr>
        <w:t>②流动资产:</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line="360" w:lineRule="auto"/>
        <w:ind w:left="840"/>
        <w:rPr>
          <w:rFonts w:ascii="宋体" w:hAnsi="宋体"/>
          <w:color w:val="000000"/>
          <w:szCs w:val="21"/>
          <w:u w:val="single"/>
        </w:rPr>
      </w:pPr>
      <w:r>
        <w:rPr>
          <w:rFonts w:hint="eastAsia" w:ascii="宋体" w:hAnsi="宋体"/>
          <w:color w:val="000000"/>
          <w:szCs w:val="21"/>
        </w:rPr>
        <w:t>③长期负债:</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line="360" w:lineRule="auto"/>
        <w:ind w:left="840"/>
        <w:rPr>
          <w:rFonts w:ascii="宋体" w:hAnsi="宋体"/>
          <w:color w:val="000000"/>
          <w:szCs w:val="21"/>
          <w:u w:val="single"/>
        </w:rPr>
      </w:pPr>
      <w:r>
        <w:rPr>
          <w:rFonts w:hint="eastAsia" w:ascii="宋体" w:hAnsi="宋体"/>
          <w:color w:val="000000"/>
          <w:szCs w:val="21"/>
        </w:rPr>
        <w:t>④流动负债:</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line="360" w:lineRule="auto"/>
        <w:ind w:left="840"/>
        <w:rPr>
          <w:rFonts w:ascii="宋体" w:hAnsi="宋体"/>
          <w:color w:val="000000"/>
          <w:szCs w:val="21"/>
          <w:u w:val="single"/>
        </w:rPr>
      </w:pPr>
      <w:r>
        <w:rPr>
          <w:rFonts w:hint="eastAsia" w:ascii="宋体" w:hAnsi="宋体"/>
          <w:color w:val="000000"/>
          <w:szCs w:val="21"/>
        </w:rPr>
        <w:t>⑤净值:</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numPr>
          <w:ilvl w:val="1"/>
          <w:numId w:val="11"/>
        </w:numPr>
        <w:spacing w:line="360" w:lineRule="auto"/>
        <w:rPr>
          <w:rFonts w:ascii="宋体" w:hAnsi="宋体"/>
          <w:color w:val="000000"/>
          <w:szCs w:val="21"/>
        </w:rPr>
      </w:pPr>
      <w:r>
        <w:rPr>
          <w:rFonts w:hint="eastAsia" w:ascii="宋体" w:hAnsi="宋体"/>
          <w:color w:val="000000"/>
          <w:szCs w:val="21"/>
        </w:rPr>
        <w:t>主要负责人姓名：(可选填)</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numPr>
          <w:ilvl w:val="1"/>
          <w:numId w:val="11"/>
        </w:numPr>
        <w:spacing w:line="360" w:lineRule="auto"/>
        <w:rPr>
          <w:rFonts w:ascii="宋体" w:hAnsi="宋体"/>
          <w:color w:val="000000"/>
          <w:szCs w:val="21"/>
        </w:rPr>
      </w:pPr>
      <w:r>
        <w:rPr>
          <w:rFonts w:hint="eastAsia" w:ascii="宋体" w:hAnsi="宋体"/>
          <w:color w:val="000000"/>
          <w:szCs w:val="21"/>
        </w:rPr>
        <w:t>从业人数：</w:t>
      </w:r>
    </w:p>
    <w:p>
      <w:pPr>
        <w:numPr>
          <w:ilvl w:val="1"/>
          <w:numId w:val="11"/>
        </w:numPr>
        <w:spacing w:line="360" w:lineRule="auto"/>
        <w:rPr>
          <w:rFonts w:ascii="宋体" w:hAnsi="宋体"/>
          <w:color w:val="000000"/>
          <w:szCs w:val="21"/>
        </w:rPr>
      </w:pPr>
      <w:r>
        <w:rPr>
          <w:rFonts w:hint="eastAsia" w:ascii="宋体" w:hAnsi="宋体"/>
          <w:color w:val="000000"/>
          <w:szCs w:val="21"/>
        </w:rPr>
        <w:t>供应商在中国的代表的姓名和地址，(如有的话)</w:t>
      </w:r>
    </w:p>
    <w:p>
      <w:pPr>
        <w:spacing w:line="360" w:lineRule="auto"/>
        <w:ind w:firstLine="420"/>
        <w:rPr>
          <w:rFonts w:ascii="宋体" w:hAnsi="宋体"/>
          <w:color w:val="000000"/>
          <w:szCs w:val="21"/>
        </w:rPr>
      </w:pPr>
      <w:r>
        <w:rPr>
          <w:rFonts w:hint="eastAsia" w:ascii="宋体" w:hAnsi="宋体"/>
          <w:color w:val="000000"/>
          <w:szCs w:val="21"/>
        </w:rPr>
        <w:t>______________________________________________</w:t>
      </w:r>
    </w:p>
    <w:p>
      <w:pPr>
        <w:spacing w:before="312" w:beforeLines="100" w:line="360" w:lineRule="auto"/>
        <w:rPr>
          <w:rFonts w:ascii="宋体" w:hAnsi="宋体"/>
          <w:color w:val="000000"/>
          <w:szCs w:val="21"/>
        </w:rPr>
      </w:pPr>
      <w:r>
        <w:rPr>
          <w:rFonts w:hint="eastAsia" w:ascii="宋体" w:hAnsi="宋体"/>
          <w:color w:val="000000"/>
          <w:szCs w:val="21"/>
        </w:rPr>
        <w:t>2.(l)关于提供货物的设施及其它情况：</w:t>
      </w:r>
    </w:p>
    <w:p>
      <w:pPr>
        <w:spacing w:line="360" w:lineRule="auto"/>
        <w:ind w:firstLine="420"/>
        <w:rPr>
          <w:rFonts w:ascii="宋体" w:hAnsi="宋体"/>
          <w:color w:val="000000"/>
          <w:szCs w:val="21"/>
        </w:rPr>
      </w:pPr>
      <w:r>
        <w:rPr>
          <w:rFonts w:hint="eastAsia" w:ascii="宋体" w:hAnsi="宋体"/>
          <w:color w:val="000000"/>
          <w:szCs w:val="21"/>
        </w:rPr>
        <w:t>___________   _________   __________  ________</w:t>
      </w:r>
      <w:r>
        <w:rPr>
          <w:rFonts w:ascii="宋体" w:hAnsi="宋体"/>
          <w:color w:val="000000"/>
          <w:szCs w:val="21"/>
          <w:u w:val="single"/>
        </w:rPr>
        <w:tab/>
      </w:r>
    </w:p>
    <w:p>
      <w:pPr>
        <w:spacing w:line="360" w:lineRule="auto"/>
        <w:ind w:firstLine="420"/>
        <w:rPr>
          <w:rFonts w:ascii="宋体" w:hAnsi="宋体"/>
          <w:color w:val="000000"/>
          <w:szCs w:val="21"/>
        </w:rPr>
      </w:pPr>
      <w:r>
        <w:rPr>
          <w:rFonts w:hint="eastAsia" w:ascii="宋体" w:hAnsi="宋体"/>
          <w:color w:val="000000"/>
          <w:szCs w:val="21"/>
        </w:rPr>
        <w:t>___________   _________   __________  ________</w:t>
      </w:r>
      <w:r>
        <w:rPr>
          <w:rFonts w:ascii="宋体" w:hAnsi="宋体"/>
          <w:color w:val="000000"/>
          <w:szCs w:val="21"/>
          <w:u w:val="single"/>
        </w:rPr>
        <w:tab/>
      </w:r>
    </w:p>
    <w:p>
      <w:pPr>
        <w:spacing w:before="156" w:beforeLines="50" w:line="360" w:lineRule="auto"/>
        <w:jc w:val="left"/>
        <w:rPr>
          <w:rFonts w:ascii="宋体" w:hAnsi="宋体"/>
          <w:color w:val="000000"/>
          <w:szCs w:val="21"/>
          <w:u w:val="single"/>
        </w:rPr>
      </w:pPr>
      <w:r>
        <w:rPr>
          <w:rFonts w:hint="eastAsia" w:ascii="宋体" w:hAnsi="宋体"/>
          <w:color w:val="000000"/>
          <w:szCs w:val="21"/>
        </w:rPr>
        <w:t>3. 供应商供货的类似经验(包括年限、项目业主、起始日期等)：_____________________________</w:t>
      </w:r>
    </w:p>
    <w:p>
      <w:pPr>
        <w:spacing w:line="360" w:lineRule="auto"/>
        <w:ind w:firstLine="420"/>
        <w:rPr>
          <w:rFonts w:ascii="宋体" w:hAnsi="宋体"/>
          <w:color w:val="000000"/>
          <w:szCs w:val="21"/>
        </w:rPr>
      </w:pPr>
      <w:r>
        <w:rPr>
          <w:rFonts w:hint="eastAsia" w:ascii="宋体" w:hAnsi="宋体"/>
          <w:color w:val="000000"/>
          <w:szCs w:val="21"/>
        </w:rPr>
        <w:t>________________________________________________</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before="312" w:beforeLines="100" w:line="360" w:lineRule="auto"/>
        <w:rPr>
          <w:rFonts w:ascii="宋体" w:hAnsi="宋体"/>
          <w:color w:val="000000"/>
          <w:szCs w:val="21"/>
        </w:rPr>
      </w:pPr>
      <w:r>
        <w:rPr>
          <w:rFonts w:hint="eastAsia" w:ascii="宋体" w:hAnsi="宋体"/>
          <w:color w:val="000000"/>
          <w:szCs w:val="21"/>
        </w:rPr>
        <w:t>4. 近三年的年营业收入</w:t>
      </w:r>
    </w:p>
    <w:p>
      <w:pPr>
        <w:spacing w:line="360" w:lineRule="auto"/>
        <w:rPr>
          <w:rFonts w:ascii="宋体" w:hAnsi="宋体"/>
          <w:color w:val="000000"/>
          <w:szCs w:val="21"/>
        </w:rPr>
      </w:pPr>
      <w:r>
        <w:rPr>
          <w:rFonts w:hint="eastAsia" w:ascii="宋体" w:hAnsi="宋体"/>
          <w:color w:val="000000"/>
          <w:szCs w:val="21"/>
        </w:rPr>
        <w:t xml:space="preserve">    年份  </w:t>
      </w:r>
      <w:r>
        <w:rPr>
          <w:rFonts w:ascii="宋体" w:hAnsi="宋体"/>
          <w:color w:val="000000"/>
          <w:szCs w:val="21"/>
        </w:rPr>
        <w:tab/>
      </w:r>
      <w:r>
        <w:rPr>
          <w:rFonts w:ascii="宋体" w:hAnsi="宋体"/>
          <w:color w:val="000000"/>
          <w:szCs w:val="21"/>
        </w:rPr>
        <w:tab/>
      </w:r>
      <w:r>
        <w:rPr>
          <w:rFonts w:ascii="宋体" w:hAnsi="宋体"/>
          <w:color w:val="000000"/>
          <w:szCs w:val="21"/>
        </w:rPr>
        <w:tab/>
      </w:r>
      <w:r>
        <w:rPr>
          <w:rFonts w:hint="eastAsia" w:ascii="宋体" w:hAnsi="宋体"/>
          <w:color w:val="000000"/>
          <w:szCs w:val="21"/>
        </w:rPr>
        <w:t xml:space="preserve">  总额         备注</w:t>
      </w:r>
    </w:p>
    <w:p>
      <w:pPr>
        <w:spacing w:line="360" w:lineRule="auto"/>
        <w:rPr>
          <w:rFonts w:ascii="宋体" w:hAnsi="宋体"/>
          <w:color w:val="000000"/>
          <w:szCs w:val="21"/>
        </w:rPr>
      </w:pPr>
      <w:r>
        <w:rPr>
          <w:rFonts w:hint="eastAsia" w:ascii="宋体" w:hAnsi="宋体"/>
          <w:color w:val="000000"/>
          <w:szCs w:val="21"/>
          <w:u w:val="single"/>
        </w:rPr>
        <w:t xml:space="preserve">____   </w:t>
      </w:r>
      <w:r>
        <w:rPr>
          <w:rFonts w:ascii="宋体" w:hAnsi="宋体"/>
          <w:color w:val="000000"/>
          <w:szCs w:val="21"/>
          <w:u w:val="single"/>
        </w:rPr>
        <w:tab/>
      </w:r>
      <w:r>
        <w:rPr>
          <w:rFonts w:ascii="宋体" w:hAnsi="宋体"/>
          <w:color w:val="000000"/>
          <w:szCs w:val="21"/>
        </w:rPr>
        <w:tab/>
      </w:r>
      <w:r>
        <w:rPr>
          <w:rFonts w:hint="eastAsia" w:ascii="宋体" w:hAnsi="宋体"/>
          <w:color w:val="000000"/>
          <w:szCs w:val="21"/>
          <w:u w:val="single"/>
        </w:rPr>
        <w:t xml:space="preserve">____  </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line="360" w:lineRule="auto"/>
        <w:rPr>
          <w:rFonts w:ascii="宋体" w:hAnsi="宋体"/>
          <w:color w:val="000000"/>
          <w:szCs w:val="21"/>
        </w:rPr>
      </w:pPr>
      <w:r>
        <w:rPr>
          <w:rFonts w:hint="eastAsia" w:ascii="宋体" w:hAnsi="宋体"/>
          <w:color w:val="000000"/>
          <w:szCs w:val="21"/>
          <w:u w:val="single"/>
        </w:rPr>
        <w:t xml:space="preserve">____  </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before="312" w:beforeLines="100" w:line="360" w:lineRule="auto"/>
        <w:rPr>
          <w:rFonts w:ascii="宋体" w:hAnsi="宋体"/>
          <w:color w:val="000000"/>
          <w:szCs w:val="21"/>
        </w:rPr>
      </w:pPr>
      <w:r>
        <w:rPr>
          <w:rFonts w:hint="eastAsia" w:ascii="宋体" w:hAnsi="宋体"/>
          <w:color w:val="000000"/>
          <w:szCs w:val="21"/>
        </w:rPr>
        <w:t>5. 有关开户银行的名称和地址:</w:t>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p>
    <w:p>
      <w:pPr>
        <w:spacing w:before="312" w:beforeLines="100" w:line="360" w:lineRule="auto"/>
        <w:rPr>
          <w:rFonts w:ascii="宋体" w:hAnsi="宋体"/>
          <w:color w:val="000000"/>
          <w:szCs w:val="21"/>
        </w:rPr>
      </w:pPr>
      <w:r>
        <w:rPr>
          <w:rFonts w:hint="eastAsia" w:ascii="宋体" w:hAnsi="宋体"/>
          <w:color w:val="000000"/>
          <w:szCs w:val="21"/>
        </w:rPr>
        <w:t>6. 供应商所属的集团公司。如有的话:</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before="312" w:beforeLines="100" w:line="360" w:lineRule="auto"/>
        <w:rPr>
          <w:rFonts w:ascii="宋体" w:hAnsi="宋体"/>
          <w:color w:val="000000"/>
          <w:szCs w:val="21"/>
          <w:u w:val="single"/>
        </w:rPr>
      </w:pPr>
      <w:r>
        <w:rPr>
          <w:rFonts w:hint="eastAsia" w:ascii="宋体" w:hAnsi="宋体"/>
          <w:color w:val="000000"/>
          <w:szCs w:val="21"/>
        </w:rPr>
        <w:t>7</w:t>
      </w:r>
      <w:r>
        <w:rPr>
          <w:rFonts w:ascii="宋体" w:hAnsi="宋体"/>
          <w:color w:val="000000"/>
          <w:szCs w:val="21"/>
        </w:rPr>
        <w:t xml:space="preserve">. </w:t>
      </w:r>
      <w:r>
        <w:rPr>
          <w:rFonts w:hint="eastAsia" w:ascii="宋体" w:hAnsi="宋体"/>
          <w:color w:val="000000"/>
          <w:szCs w:val="21"/>
        </w:rPr>
        <w:t>其他情况：</w:t>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r>
        <w:rPr>
          <w:rFonts w:ascii="宋体" w:hAnsi="宋体"/>
          <w:color w:val="000000"/>
          <w:szCs w:val="21"/>
          <w:u w:val="single"/>
        </w:rPr>
        <w:tab/>
      </w:r>
    </w:p>
    <w:p>
      <w:pPr>
        <w:spacing w:before="312" w:beforeLines="100" w:line="360" w:lineRule="auto"/>
        <w:ind w:firstLine="359" w:firstLineChars="171"/>
        <w:rPr>
          <w:rFonts w:ascii="宋体" w:hAnsi="宋体"/>
          <w:color w:val="000000"/>
          <w:szCs w:val="21"/>
        </w:rPr>
      </w:pPr>
      <w:r>
        <w:rPr>
          <w:rFonts w:hint="eastAsia" w:ascii="宋体" w:hAnsi="宋体"/>
          <w:color w:val="000000"/>
          <w:szCs w:val="21"/>
        </w:rPr>
        <w:t>兹证明上述声明是真实、正确的，并提供了全部能提供的资料和数据，我们同意遵照贵方要求出示有关证明文件。</w:t>
      </w:r>
    </w:p>
    <w:p>
      <w:pPr>
        <w:spacing w:line="360" w:lineRule="auto"/>
        <w:rPr>
          <w:rFonts w:ascii="宋体"/>
          <w:szCs w:val="21"/>
        </w:rPr>
      </w:pPr>
    </w:p>
    <w:p>
      <w:pPr>
        <w:spacing w:line="360" w:lineRule="auto"/>
        <w:rPr>
          <w:rFonts w:ascii="宋体"/>
          <w:szCs w:val="21"/>
        </w:rPr>
      </w:pPr>
      <w:r>
        <w:rPr>
          <w:rFonts w:hint="eastAsia" w:ascii="宋体"/>
          <w:szCs w:val="21"/>
        </w:rPr>
        <w:t>供应商名称（盖单位鲜章）：_______________________________________________</w:t>
      </w:r>
    </w:p>
    <w:p>
      <w:pPr>
        <w:spacing w:line="360" w:lineRule="auto"/>
        <w:rPr>
          <w:rFonts w:ascii="宋体"/>
          <w:szCs w:val="21"/>
        </w:rPr>
      </w:pPr>
      <w:r>
        <w:rPr>
          <w:rFonts w:hint="eastAsia" w:ascii="宋体"/>
          <w:szCs w:val="21"/>
        </w:rPr>
        <w:t>日</w:t>
      </w:r>
      <w:r>
        <w:rPr>
          <w:rFonts w:hint="eastAsia" w:ascii="宋体"/>
          <w:szCs w:val="21"/>
        </w:rPr>
        <w:tab/>
      </w:r>
      <w:r>
        <w:rPr>
          <w:rFonts w:hint="eastAsia" w:ascii="宋体"/>
          <w:szCs w:val="21"/>
        </w:rPr>
        <w:t>期：_______________________________________________</w:t>
      </w:r>
    </w:p>
    <w:p>
      <w:pPr>
        <w:spacing w:line="360" w:lineRule="auto"/>
        <w:rPr>
          <w:rFonts w:ascii="宋体"/>
          <w:sz w:val="24"/>
        </w:rPr>
      </w:pPr>
    </w:p>
    <w:p>
      <w:pPr>
        <w:widowControl/>
        <w:jc w:val="left"/>
        <w:rPr>
          <w:rFonts w:ascii="宋体" w:hAnsi="宋体"/>
          <w:sz w:val="24"/>
        </w:rPr>
      </w:pPr>
      <w:r>
        <w:rPr>
          <w:rFonts w:ascii="宋体" w:hAnsi="宋体"/>
          <w:sz w:val="24"/>
        </w:rPr>
        <w:br w:type="page"/>
      </w:r>
    </w:p>
    <w:p>
      <w:pPr>
        <w:pStyle w:val="4"/>
        <w:numPr>
          <w:ilvl w:val="0"/>
          <w:numId w:val="0"/>
        </w:numPr>
        <w:spacing w:before="0"/>
        <w:rPr>
          <w:rFonts w:asciiTheme="minorEastAsia" w:hAnsiTheme="minorEastAsia" w:eastAsiaTheme="minorEastAsia"/>
          <w:bCs w:val="0"/>
          <w:sz w:val="32"/>
        </w:rPr>
      </w:pPr>
      <w:bookmarkStart w:id="303" w:name="_Toc18104"/>
      <w:r>
        <w:rPr>
          <w:rFonts w:hint="eastAsia" w:asciiTheme="minorEastAsia" w:hAnsiTheme="minorEastAsia" w:eastAsiaTheme="minorEastAsia"/>
          <w:bCs w:val="0"/>
          <w:sz w:val="32"/>
        </w:rPr>
        <w:t>★</w:t>
      </w:r>
      <w:bookmarkStart w:id="304" w:name="_Toc8527"/>
      <w:bookmarkStart w:id="305" w:name="_Toc11023"/>
      <w:bookmarkStart w:id="306" w:name="_Toc495671864"/>
      <w:r>
        <w:rPr>
          <w:rFonts w:hint="eastAsia" w:asciiTheme="minorEastAsia" w:hAnsiTheme="minorEastAsia" w:eastAsiaTheme="minorEastAsia"/>
          <w:bCs w:val="0"/>
          <w:sz w:val="32"/>
        </w:rPr>
        <w:t>格式7资格证明文件</w:t>
      </w:r>
      <w:bookmarkEnd w:id="303"/>
    </w:p>
    <w:bookmarkEnd w:id="304"/>
    <w:bookmarkEnd w:id="305"/>
    <w:bookmarkEnd w:id="306"/>
    <w:p>
      <w:pPr>
        <w:spacing w:line="360" w:lineRule="auto"/>
        <w:rPr>
          <w:b/>
          <w:color w:val="000000" w:themeColor="text1"/>
          <w:sz w:val="28"/>
          <w:szCs w:val="28"/>
          <w14:textFill>
            <w14:solidFill>
              <w14:schemeClr w14:val="tx1"/>
            </w14:solidFill>
          </w14:textFill>
        </w:rPr>
      </w:pPr>
      <w:r>
        <w:rPr>
          <w:rFonts w:hint="eastAsia"/>
          <w:b/>
          <w:color w:val="000000"/>
        </w:rPr>
        <w:t>★</w:t>
      </w:r>
      <w:bookmarkStart w:id="307" w:name="_Toc421194392"/>
      <w:bookmarkStart w:id="308" w:name="_Toc446494201"/>
      <w:r>
        <w:rPr>
          <w:rFonts w:hint="eastAsia"/>
          <w:b/>
          <w:color w:val="000000" w:themeColor="text1"/>
          <w:sz w:val="28"/>
          <w:szCs w:val="28"/>
          <w14:textFill>
            <w14:solidFill>
              <w14:schemeClr w14:val="tx1"/>
            </w14:solidFill>
          </w14:textFill>
        </w:rPr>
        <w:t>供应商缴纳税收证明材料</w:t>
      </w:r>
    </w:p>
    <w:bookmarkEnd w:id="307"/>
    <w:bookmarkEnd w:id="308"/>
    <w:p>
      <w:pPr>
        <w:rPr>
          <w:rFonts w:asciiTheme="minorEastAsia" w:hAnsiTheme="minorEastAsia" w:eastAsiaTheme="minorEastAsia"/>
        </w:rPr>
      </w:pPr>
    </w:p>
    <w:p>
      <w:pPr>
        <w:rPr>
          <w:rFonts w:asciiTheme="minorEastAsia" w:hAnsiTheme="minorEastAsia" w:eastAsiaTheme="minorEastAsia"/>
        </w:rPr>
      </w:pPr>
    </w:p>
    <w:p>
      <w:pPr>
        <w:spacing w:line="360" w:lineRule="auto"/>
        <w:rPr>
          <w:b/>
          <w:color w:val="000000" w:themeColor="text1"/>
          <w:sz w:val="28"/>
          <w:szCs w:val="28"/>
          <w14:textFill>
            <w14:solidFill>
              <w14:schemeClr w14:val="tx1"/>
            </w14:solidFill>
          </w14:textFill>
        </w:rPr>
      </w:pPr>
      <w:r>
        <w:rPr>
          <w:rFonts w:hint="eastAsia"/>
          <w:b/>
          <w:color w:val="000000"/>
        </w:rPr>
        <w:t>★</w:t>
      </w:r>
      <w:bookmarkStart w:id="309" w:name="_Toc446494202"/>
      <w:bookmarkStart w:id="310" w:name="_Toc421194393"/>
      <w:r>
        <w:rPr>
          <w:rFonts w:hint="eastAsia"/>
          <w:b/>
          <w:color w:val="000000" w:themeColor="text1"/>
          <w:sz w:val="28"/>
          <w:szCs w:val="28"/>
          <w14:textFill>
            <w14:solidFill>
              <w14:schemeClr w14:val="tx1"/>
            </w14:solidFill>
          </w14:textFill>
        </w:rPr>
        <w:t>供应商缴纳社保证明材料</w:t>
      </w:r>
    </w:p>
    <w:bookmarkEnd w:id="309"/>
    <w:bookmarkEnd w:id="310"/>
    <w:p>
      <w:pPr>
        <w:rPr>
          <w:rFonts w:asciiTheme="minorEastAsia" w:hAnsiTheme="minorEastAsia" w:eastAsiaTheme="minorEastAsia"/>
        </w:rPr>
      </w:pPr>
    </w:p>
    <w:p>
      <w:pPr>
        <w:rPr>
          <w:rFonts w:asciiTheme="minorEastAsia" w:hAnsiTheme="minorEastAsia" w:eastAsiaTheme="minorEastAsia"/>
        </w:rPr>
      </w:pPr>
    </w:p>
    <w:p>
      <w:pPr>
        <w:spacing w:line="360" w:lineRule="auto"/>
        <w:rPr>
          <w:b/>
          <w:color w:val="000000" w:themeColor="text1"/>
          <w:sz w:val="28"/>
          <w:szCs w:val="28"/>
          <w14:textFill>
            <w14:solidFill>
              <w14:schemeClr w14:val="tx1"/>
            </w14:solidFill>
          </w14:textFill>
        </w:rPr>
      </w:pPr>
      <w:r>
        <w:rPr>
          <w:rFonts w:hint="eastAsia"/>
          <w:b/>
          <w:color w:val="000000"/>
        </w:rPr>
        <w:t>★</w:t>
      </w:r>
      <w:bookmarkStart w:id="311" w:name="_Toc421194390"/>
      <w:bookmarkStart w:id="312" w:name="_Toc446494204"/>
      <w:r>
        <w:rPr>
          <w:rFonts w:hint="eastAsia"/>
          <w:b/>
          <w:color w:val="000000" w:themeColor="text1"/>
          <w:sz w:val="28"/>
          <w:szCs w:val="28"/>
          <w14:textFill>
            <w14:solidFill>
              <w14:schemeClr w14:val="tx1"/>
            </w14:solidFill>
          </w14:textFill>
        </w:rPr>
        <w:t>供应商近期的财务状况报告</w:t>
      </w:r>
    </w:p>
    <w:bookmarkEnd w:id="311"/>
    <w:bookmarkEnd w:id="312"/>
    <w:p>
      <w:pPr>
        <w:rPr>
          <w:rFonts w:asciiTheme="minorEastAsia" w:hAnsiTheme="minorEastAsia" w:eastAsiaTheme="minorEastAsia"/>
        </w:rPr>
      </w:pPr>
    </w:p>
    <w:p>
      <w:pPr>
        <w:rPr>
          <w:rFonts w:asciiTheme="minorEastAsia" w:hAnsiTheme="minorEastAsia" w:eastAsiaTheme="minorEastAsia"/>
        </w:rPr>
      </w:pPr>
    </w:p>
    <w:p>
      <w:pPr>
        <w:spacing w:line="360" w:lineRule="auto"/>
        <w:rPr>
          <w:b/>
          <w:color w:val="000000" w:themeColor="text1"/>
          <w:sz w:val="28"/>
          <w:szCs w:val="28"/>
          <w14:textFill>
            <w14:solidFill>
              <w14:schemeClr w14:val="tx1"/>
            </w14:solidFill>
          </w14:textFill>
        </w:rPr>
      </w:pPr>
      <w:r>
        <w:rPr>
          <w:rFonts w:hint="eastAsia"/>
          <w:b/>
          <w:color w:val="000000"/>
        </w:rPr>
        <w:t>★</w:t>
      </w:r>
      <w:bookmarkStart w:id="313" w:name="_Toc446494205"/>
      <w:bookmarkStart w:id="314" w:name="_Toc421194391"/>
      <w:r>
        <w:rPr>
          <w:rFonts w:hint="eastAsia"/>
          <w:b/>
          <w:color w:val="000000" w:themeColor="text1"/>
          <w:sz w:val="28"/>
          <w:szCs w:val="28"/>
          <w14:textFill>
            <w14:solidFill>
              <w14:schemeClr w14:val="tx1"/>
            </w14:solidFill>
          </w14:textFill>
        </w:rPr>
        <w:t>书面声明</w:t>
      </w:r>
    </w:p>
    <w:bookmarkEnd w:id="313"/>
    <w:bookmarkEnd w:id="314"/>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供应商名称</w:t>
      </w:r>
      <w:r>
        <w:rPr>
          <w:rFonts w:hint="eastAsia" w:asciiTheme="minorEastAsia" w:hAnsiTheme="minorEastAsia" w:eastAsiaTheme="minorEastAsia"/>
          <w:sz w:val="24"/>
        </w:rPr>
        <w:t>在此声明，我单位参加政府采购活动前3年内未出现因违法经营受到刑事处罚或者责令停产停业、吊销许可证或者执照、较大数额罚款等行政处罚。</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供应商：（盖单位鲜章）</w:t>
      </w:r>
    </w:p>
    <w:p>
      <w:pPr>
        <w:spacing w:line="360" w:lineRule="auto"/>
        <w:ind w:firstLine="2" w:firstLineChars="1"/>
        <w:rPr>
          <w:rFonts w:asciiTheme="minorEastAsia" w:hAnsiTheme="minorEastAsia" w:eastAsiaTheme="minorEastAsia"/>
          <w:sz w:val="24"/>
        </w:rPr>
      </w:pPr>
      <w:r>
        <w:rPr>
          <w:rFonts w:hint="eastAsia" w:asciiTheme="minorEastAsia" w:hAnsiTheme="minorEastAsia" w:eastAsiaTheme="minorEastAsia"/>
          <w:sz w:val="24"/>
        </w:rPr>
        <w:t>法定代表人：（签名或盖章）</w:t>
      </w:r>
    </w:p>
    <w:p>
      <w:pPr>
        <w:ind w:firstLine="240" w:firstLineChars="100"/>
        <w:rPr>
          <w:rFonts w:asciiTheme="minorEastAsia" w:hAnsiTheme="minorEastAsia" w:eastAsiaTheme="minorEastAsia"/>
          <w:sz w:val="24"/>
        </w:rPr>
      </w:pPr>
      <w:r>
        <w:rPr>
          <w:rFonts w:hint="eastAsia" w:asciiTheme="minorEastAsia" w:hAnsiTheme="minorEastAsia" w:eastAsiaTheme="minorEastAsia"/>
          <w:sz w:val="24"/>
        </w:rPr>
        <w:t>年月日</w:t>
      </w:r>
    </w:p>
    <w:p>
      <w:pPr>
        <w:rPr>
          <w:rFonts w:asciiTheme="minorEastAsia" w:hAnsiTheme="minorEastAsia" w:eastAsiaTheme="minorEastAsia"/>
          <w:sz w:val="24"/>
        </w:rPr>
      </w:pPr>
    </w:p>
    <w:p>
      <w:pPr>
        <w:rPr>
          <w:rFonts w:asciiTheme="minorEastAsia" w:hAnsiTheme="minorEastAsia" w:eastAsiaTheme="minorEastAsia"/>
          <w:sz w:val="24"/>
        </w:rPr>
      </w:pPr>
    </w:p>
    <w:p>
      <w:pPr>
        <w:spacing w:line="360" w:lineRule="auto"/>
        <w:rPr>
          <w:rFonts w:ascii="宋体"/>
          <w:b/>
          <w:color w:val="000000" w:themeColor="text1"/>
          <w:sz w:val="28"/>
          <w:szCs w:val="28"/>
          <w14:textFill>
            <w14:solidFill>
              <w14:schemeClr w14:val="tx1"/>
            </w14:solidFill>
          </w14:textFill>
        </w:rPr>
      </w:pPr>
      <w:r>
        <w:rPr>
          <w:rFonts w:hint="eastAsia" w:ascii="宋体"/>
          <w:b/>
          <w:color w:val="000000" w:themeColor="text1"/>
          <w:sz w:val="28"/>
          <w:szCs w:val="28"/>
          <w14:textFill>
            <w14:solidFill>
              <w14:schemeClr w14:val="tx1"/>
            </w14:solidFill>
          </w14:textFill>
        </w:rPr>
        <w:t>本项目所要求的资格、资质证书（扫描件加盖鲜章）</w:t>
      </w:r>
    </w:p>
    <w:p>
      <w:pPr>
        <w:pStyle w:val="15"/>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（如果有）</w:t>
      </w:r>
    </w:p>
    <w:p>
      <w:pPr>
        <w:rPr>
          <w:rFonts w:ascii="宋体"/>
          <w:sz w:val="24"/>
        </w:rPr>
      </w:pPr>
      <w:r>
        <w:rPr>
          <w:rFonts w:asciiTheme="minorEastAsia" w:hAnsiTheme="minorEastAsia" w:eastAsiaTheme="minorEastAsia"/>
          <w:bCs/>
          <w:sz w:val="32"/>
        </w:rPr>
        <w:br w:type="page"/>
      </w:r>
    </w:p>
    <w:p>
      <w:pPr>
        <w:pStyle w:val="4"/>
        <w:numPr>
          <w:ilvl w:val="0"/>
          <w:numId w:val="0"/>
        </w:numPr>
        <w:spacing w:before="0"/>
        <w:rPr>
          <w:rFonts w:asciiTheme="minorEastAsia" w:hAnsiTheme="minorEastAsia" w:eastAsiaTheme="minorEastAsia"/>
          <w:bCs w:val="0"/>
          <w:sz w:val="32"/>
        </w:rPr>
      </w:pPr>
      <w:bookmarkStart w:id="315" w:name="_Toc13699"/>
      <w:r>
        <w:rPr>
          <w:rFonts w:hint="eastAsia" w:asciiTheme="minorEastAsia" w:hAnsiTheme="minorEastAsia" w:eastAsiaTheme="minorEastAsia"/>
          <w:bCs w:val="0"/>
          <w:sz w:val="32"/>
        </w:rPr>
        <w:t>格</w:t>
      </w:r>
      <w:bookmarkStart w:id="316" w:name="_Toc22882"/>
      <w:bookmarkStart w:id="317" w:name="_Toc7361"/>
      <w:bookmarkStart w:id="318" w:name="_Toc23726"/>
      <w:bookmarkStart w:id="319" w:name="_Toc495671865"/>
      <w:r>
        <w:rPr>
          <w:rFonts w:hint="eastAsia" w:asciiTheme="minorEastAsia" w:hAnsiTheme="minorEastAsia" w:eastAsiaTheme="minorEastAsia"/>
          <w:bCs w:val="0"/>
          <w:sz w:val="32"/>
        </w:rPr>
        <w:t>式8</w:t>
      </w:r>
      <w:r>
        <w:rPr>
          <w:rFonts w:asciiTheme="minorEastAsia" w:hAnsiTheme="minorEastAsia" w:eastAsiaTheme="minorEastAsia"/>
          <w:bCs w:val="0"/>
          <w:sz w:val="32"/>
        </w:rPr>
        <w:t>构成响应文件的其它资料</w:t>
      </w:r>
      <w:bookmarkEnd w:id="315"/>
    </w:p>
    <w:bookmarkEnd w:id="316"/>
    <w:bookmarkEnd w:id="317"/>
    <w:bookmarkEnd w:id="318"/>
    <w:bookmarkEnd w:id="319"/>
    <w:p>
      <w:pPr>
        <w:spacing w:line="360" w:lineRule="auto"/>
        <w:ind w:firstLine="420" w:firstLineChars="200"/>
        <w:rPr>
          <w:rFonts w:asciiTheme="minorEastAsia" w:hAnsiTheme="minorEastAsia" w:eastAsiaTheme="minorEastAsia"/>
          <w:b/>
        </w:rPr>
      </w:pPr>
      <w:r>
        <w:rPr>
          <w:rFonts w:asciiTheme="minorEastAsia" w:hAnsiTheme="minorEastAsia" w:eastAsiaTheme="minorEastAsia"/>
          <w:b/>
        </w:rPr>
        <w:t>详见第二章“供应商须知前附表”</w:t>
      </w:r>
      <w:r>
        <w:rPr>
          <w:rFonts w:hint="eastAsia" w:asciiTheme="minorEastAsia" w:hAnsiTheme="minorEastAsia" w:eastAsiaTheme="minorEastAsia"/>
          <w:b/>
        </w:rPr>
        <w:t>第</w:t>
      </w:r>
      <w:r>
        <w:rPr>
          <w:rFonts w:asciiTheme="minorEastAsia" w:hAnsiTheme="minorEastAsia" w:eastAsiaTheme="minorEastAsia"/>
          <w:b/>
        </w:rPr>
        <w:t xml:space="preserve"> 9.</w:t>
      </w:r>
      <w:r>
        <w:rPr>
          <w:rFonts w:hint="eastAsia" w:asciiTheme="minorEastAsia" w:hAnsiTheme="minorEastAsia" w:eastAsiaTheme="minorEastAsia"/>
          <w:b/>
        </w:rPr>
        <w:t>2</w:t>
      </w:r>
      <w:r>
        <w:rPr>
          <w:rFonts w:asciiTheme="minorEastAsia" w:hAnsiTheme="minorEastAsia" w:eastAsiaTheme="minorEastAsia"/>
          <w:b/>
        </w:rPr>
        <w:t>（</w:t>
      </w:r>
      <w:r>
        <w:rPr>
          <w:rFonts w:hint="eastAsia" w:asciiTheme="minorEastAsia" w:hAnsiTheme="minorEastAsia" w:eastAsiaTheme="minorEastAsia"/>
          <w:b/>
        </w:rPr>
        <w:t>8</w:t>
      </w:r>
      <w:r>
        <w:rPr>
          <w:rFonts w:asciiTheme="minorEastAsia" w:hAnsiTheme="minorEastAsia" w:eastAsiaTheme="minorEastAsia"/>
          <w:b/>
        </w:rPr>
        <w:t>）</w:t>
      </w:r>
      <w:r>
        <w:rPr>
          <w:rFonts w:hint="eastAsia" w:asciiTheme="minorEastAsia" w:hAnsiTheme="minorEastAsia" w:eastAsiaTheme="minorEastAsia"/>
          <w:b/>
        </w:rPr>
        <w:t>条款要求</w:t>
      </w:r>
      <w:r>
        <w:rPr>
          <w:rFonts w:asciiTheme="minorEastAsia" w:hAnsiTheme="minorEastAsia" w:eastAsiaTheme="minorEastAsia"/>
          <w:b/>
        </w:rPr>
        <w:t>，有格式的请按给定格式填写，无格式要求的请自拟格式。</w:t>
      </w:r>
    </w:p>
    <w:p>
      <w:pPr>
        <w:spacing w:line="720" w:lineRule="auto"/>
        <w:jc w:val="center"/>
        <w:rPr>
          <w:rFonts w:ascii="宋体" w:hAnsi="宋体" w:cs="宋体"/>
          <w:b/>
          <w:bCs/>
          <w:sz w:val="32"/>
          <w:szCs w:val="40"/>
        </w:rPr>
      </w:pPr>
      <w:r>
        <w:rPr>
          <w:rFonts w:hint="eastAsia" w:ascii="宋体" w:hAnsi="宋体" w:cs="宋体"/>
          <w:b/>
          <w:bCs/>
          <w:sz w:val="32"/>
          <w:szCs w:val="40"/>
        </w:rPr>
        <w:t>中小企业声明函（服务）</w:t>
      </w:r>
    </w:p>
    <w:p>
      <w:pPr>
        <w:spacing w:line="480" w:lineRule="auto"/>
        <w:ind w:firstLine="420"/>
        <w:rPr>
          <w:rFonts w:ascii="宋体" w:hAnsi="宋体" w:cs="宋体"/>
          <w:sz w:val="22"/>
          <w:szCs w:val="28"/>
        </w:rPr>
      </w:pPr>
      <w:r>
        <w:rPr>
          <w:rFonts w:hint="eastAsia" w:ascii="宋体" w:hAnsi="宋体" w:cs="宋体"/>
          <w:sz w:val="22"/>
          <w:szCs w:val="28"/>
        </w:rPr>
        <w:t>本公司（联合体）郑重声明，根据《政府采购促进中小企业发展管理办法》（财库（2020）46号）的规定，本公司（联合体）参加</w:t>
      </w:r>
      <w:r>
        <w:rPr>
          <w:rFonts w:hint="eastAsia" w:ascii="宋体" w:hAnsi="宋体" w:cs="宋体"/>
          <w:i/>
          <w:iCs/>
          <w:sz w:val="22"/>
          <w:szCs w:val="28"/>
          <w:u w:val="single"/>
        </w:rPr>
        <w:t>（单位名称）</w:t>
      </w:r>
      <w:r>
        <w:rPr>
          <w:rFonts w:hint="eastAsia" w:ascii="宋体" w:hAnsi="宋体" w:cs="宋体"/>
          <w:sz w:val="22"/>
          <w:szCs w:val="28"/>
        </w:rPr>
        <w:t>的</w:t>
      </w:r>
      <w:r>
        <w:rPr>
          <w:rFonts w:hint="eastAsia" w:ascii="宋体" w:hAnsi="宋体" w:cs="宋体"/>
          <w:i/>
          <w:iCs/>
          <w:sz w:val="22"/>
          <w:szCs w:val="28"/>
          <w:u w:val="single"/>
        </w:rPr>
        <w:t>（项目名称）</w:t>
      </w:r>
      <w:r>
        <w:rPr>
          <w:rFonts w:hint="eastAsia" w:ascii="宋体" w:hAnsi="宋体" w:cs="宋体"/>
          <w:sz w:val="22"/>
          <w:szCs w:val="28"/>
        </w:rPr>
        <w:t>采购活动，工程的施工单位全部为符合政策要求的中小企业（或者：服务全部由符合政策要求的中小企业承接）。相关企业（含联合体中的中小企业、签订分包意向协议的中小企业）的具体情况如下：</w:t>
      </w:r>
    </w:p>
    <w:p>
      <w:pPr>
        <w:spacing w:line="480" w:lineRule="auto"/>
        <w:ind w:firstLine="420"/>
        <w:rPr>
          <w:rFonts w:ascii="宋体" w:hAnsi="宋体" w:cs="宋体"/>
          <w:sz w:val="22"/>
          <w:szCs w:val="28"/>
        </w:rPr>
      </w:pPr>
      <w:r>
        <w:rPr>
          <w:rFonts w:hint="eastAsia" w:ascii="宋体" w:hAnsi="宋体" w:cs="宋体"/>
          <w:sz w:val="22"/>
          <w:szCs w:val="28"/>
        </w:rPr>
        <w:t>1.</w:t>
      </w:r>
      <w:r>
        <w:rPr>
          <w:rFonts w:hint="eastAsia"/>
        </w:rPr>
        <w:t xml:space="preserve"> </w:t>
      </w:r>
      <w:r>
        <w:rPr>
          <w:rFonts w:hint="eastAsia" w:ascii="宋体" w:hAnsi="宋体" w:cs="宋体"/>
          <w:i/>
          <w:iCs/>
          <w:sz w:val="22"/>
          <w:szCs w:val="28"/>
          <w:u w:val="single"/>
        </w:rPr>
        <w:t>（标的名称），</w:t>
      </w:r>
      <w:r>
        <w:rPr>
          <w:rFonts w:hint="eastAsia" w:ascii="宋体" w:hAnsi="宋体" w:cs="宋体"/>
          <w:sz w:val="22"/>
          <w:szCs w:val="28"/>
        </w:rPr>
        <w:t>属于</w:t>
      </w:r>
      <w:r>
        <w:rPr>
          <w:rFonts w:hint="eastAsia" w:ascii="宋体" w:hAnsi="宋体" w:cs="宋体"/>
          <w:i/>
          <w:iCs/>
          <w:sz w:val="22"/>
          <w:szCs w:val="28"/>
          <w:u w:val="single"/>
        </w:rPr>
        <w:t>物业管理</w:t>
      </w:r>
      <w:r>
        <w:rPr>
          <w:rFonts w:hint="eastAsia" w:ascii="宋体" w:hAnsi="宋体" w:cs="宋体"/>
          <w:sz w:val="22"/>
          <w:szCs w:val="28"/>
        </w:rPr>
        <w:t>；承建（承接）企业为</w:t>
      </w:r>
      <w:r>
        <w:rPr>
          <w:rFonts w:hint="eastAsia" w:ascii="宋体" w:hAnsi="宋体" w:cs="宋体"/>
          <w:i/>
          <w:iCs/>
          <w:sz w:val="22"/>
          <w:szCs w:val="28"/>
          <w:u w:val="single"/>
        </w:rPr>
        <w:t>（企业名称）</w:t>
      </w:r>
      <w:r>
        <w:rPr>
          <w:rFonts w:hint="eastAsia" w:ascii="宋体" w:hAnsi="宋体" w:cs="宋体"/>
          <w:sz w:val="22"/>
          <w:szCs w:val="28"/>
        </w:rPr>
        <w:t>，从业人员_____人，营业收入为_____万元，资产总额为_____万元</w:t>
      </w:r>
      <w:r>
        <w:rPr>
          <w:rFonts w:hint="eastAsia" w:ascii="宋体" w:hAnsi="宋体" w:cs="宋体"/>
          <w:sz w:val="22"/>
          <w:szCs w:val="28"/>
          <w:vertAlign w:val="superscript"/>
        </w:rPr>
        <w:t>1</w:t>
      </w:r>
      <w:r>
        <w:rPr>
          <w:rFonts w:hint="eastAsia" w:ascii="宋体" w:hAnsi="宋体" w:cs="宋体"/>
          <w:sz w:val="22"/>
          <w:szCs w:val="28"/>
        </w:rPr>
        <w:t>，属于</w:t>
      </w:r>
      <w:r>
        <w:rPr>
          <w:rFonts w:hint="eastAsia" w:ascii="宋体" w:hAnsi="宋体" w:cs="宋体"/>
          <w:i/>
          <w:iCs/>
          <w:sz w:val="22"/>
          <w:szCs w:val="28"/>
          <w:u w:val="single"/>
        </w:rPr>
        <w:t>（中型企业、小型企业、微型企业）</w:t>
      </w:r>
      <w:r>
        <w:rPr>
          <w:rFonts w:hint="eastAsia" w:ascii="宋体" w:hAnsi="宋体" w:cs="宋体"/>
          <w:sz w:val="22"/>
          <w:szCs w:val="28"/>
        </w:rPr>
        <w:t>；</w:t>
      </w:r>
    </w:p>
    <w:p>
      <w:pPr>
        <w:spacing w:line="480" w:lineRule="auto"/>
        <w:ind w:firstLine="420"/>
        <w:rPr>
          <w:rFonts w:ascii="宋体" w:hAnsi="宋体" w:cs="宋体"/>
          <w:sz w:val="22"/>
          <w:szCs w:val="28"/>
        </w:rPr>
      </w:pPr>
      <w:r>
        <w:rPr>
          <w:rFonts w:hint="eastAsia" w:ascii="宋体" w:hAnsi="宋体" w:cs="宋体"/>
          <w:sz w:val="22"/>
          <w:szCs w:val="28"/>
        </w:rPr>
        <w:t>2.</w:t>
      </w:r>
      <w:r>
        <w:rPr>
          <w:rFonts w:hint="eastAsia" w:ascii="宋体" w:hAnsi="宋体" w:cs="宋体"/>
          <w:i/>
          <w:iCs/>
          <w:sz w:val="22"/>
          <w:szCs w:val="28"/>
          <w:u w:val="single"/>
        </w:rPr>
        <w:t>（标的名称）</w:t>
      </w:r>
      <w:r>
        <w:rPr>
          <w:rFonts w:hint="eastAsia" w:ascii="宋体" w:hAnsi="宋体" w:cs="宋体"/>
          <w:sz w:val="22"/>
          <w:szCs w:val="28"/>
        </w:rPr>
        <w:t>，属于</w:t>
      </w:r>
      <w:r>
        <w:rPr>
          <w:rFonts w:hint="eastAsia" w:ascii="宋体" w:hAnsi="宋体" w:cs="宋体"/>
          <w:i/>
          <w:iCs/>
          <w:sz w:val="22"/>
          <w:szCs w:val="28"/>
          <w:u w:val="single"/>
        </w:rPr>
        <w:t>物业管理</w:t>
      </w:r>
      <w:r>
        <w:rPr>
          <w:rFonts w:hint="eastAsia" w:ascii="宋体" w:hAnsi="宋体" w:cs="宋体"/>
          <w:sz w:val="22"/>
          <w:szCs w:val="28"/>
        </w:rPr>
        <w:t>；承建（承接）企业为</w:t>
      </w:r>
      <w:r>
        <w:rPr>
          <w:rFonts w:hint="eastAsia" w:ascii="宋体" w:hAnsi="宋体" w:cs="宋体"/>
          <w:i/>
          <w:iCs/>
          <w:sz w:val="22"/>
          <w:szCs w:val="28"/>
          <w:u w:val="single"/>
        </w:rPr>
        <w:t>（企业名称）</w:t>
      </w:r>
      <w:r>
        <w:rPr>
          <w:rFonts w:hint="eastAsia" w:ascii="宋体" w:hAnsi="宋体" w:cs="宋体"/>
          <w:sz w:val="22"/>
          <w:szCs w:val="28"/>
        </w:rPr>
        <w:t>，从业人员_____人，营业收入为_____万元，资产总额为_____万元，属于</w:t>
      </w:r>
      <w:r>
        <w:rPr>
          <w:rFonts w:hint="eastAsia" w:ascii="宋体" w:hAnsi="宋体" w:cs="宋体"/>
          <w:i/>
          <w:iCs/>
          <w:sz w:val="22"/>
          <w:szCs w:val="28"/>
          <w:u w:val="single"/>
        </w:rPr>
        <w:t>（中型企业、小型企业、微型企业）</w:t>
      </w:r>
      <w:r>
        <w:rPr>
          <w:rFonts w:hint="eastAsia" w:ascii="宋体" w:hAnsi="宋体" w:cs="宋体"/>
          <w:sz w:val="22"/>
          <w:szCs w:val="28"/>
        </w:rPr>
        <w:t>；</w:t>
      </w:r>
    </w:p>
    <w:p>
      <w:pPr>
        <w:ind w:firstLine="420" w:firstLineChars="200"/>
      </w:pPr>
      <w:r>
        <w:rPr>
          <w:rFonts w:hint="eastAsia"/>
        </w:rPr>
        <w:t>… …</w:t>
      </w:r>
    </w:p>
    <w:p>
      <w:pPr>
        <w:spacing w:line="480" w:lineRule="auto"/>
        <w:ind w:firstLine="440" w:firstLineChars="200"/>
        <w:rPr>
          <w:rFonts w:ascii="宋体" w:hAnsi="宋体" w:cs="宋体"/>
          <w:sz w:val="22"/>
          <w:szCs w:val="28"/>
        </w:rPr>
      </w:pPr>
      <w:r>
        <w:rPr>
          <w:rFonts w:hint="eastAsia" w:ascii="宋体" w:hAnsi="宋体" w:cs="宋体"/>
          <w:sz w:val="22"/>
          <w:szCs w:val="28"/>
        </w:rPr>
        <w:t>以上企业，不属于大企业的分支机构，不存在控股股东为大企业的情形，也不存在与大企业的负责人为同一人的情形。</w:t>
      </w:r>
    </w:p>
    <w:p>
      <w:pPr>
        <w:spacing w:line="480" w:lineRule="auto"/>
        <w:ind w:firstLine="420"/>
        <w:rPr>
          <w:rFonts w:ascii="宋体" w:hAnsi="宋体" w:cs="宋体"/>
          <w:sz w:val="22"/>
          <w:szCs w:val="28"/>
        </w:rPr>
      </w:pPr>
      <w:r>
        <w:rPr>
          <w:rFonts w:hint="eastAsia" w:ascii="宋体" w:hAnsi="宋体" w:cs="宋体"/>
          <w:sz w:val="22"/>
          <w:szCs w:val="28"/>
        </w:rPr>
        <w:t>本企业对上述声明内容的真实性负责，如有虚假，将依法承担相应责任。</w:t>
      </w:r>
    </w:p>
    <w:p>
      <w:pPr>
        <w:spacing w:line="480" w:lineRule="auto"/>
        <w:rPr>
          <w:rFonts w:ascii="宋体" w:hAnsi="宋体" w:cs="宋体"/>
          <w:sz w:val="22"/>
          <w:szCs w:val="28"/>
        </w:rPr>
      </w:pPr>
    </w:p>
    <w:p>
      <w:pPr>
        <w:spacing w:line="480" w:lineRule="auto"/>
        <w:ind w:firstLine="4840" w:firstLineChars="2200"/>
        <w:rPr>
          <w:rFonts w:ascii="宋体" w:hAnsi="宋体" w:cs="宋体"/>
          <w:sz w:val="22"/>
          <w:szCs w:val="28"/>
        </w:rPr>
      </w:pPr>
      <w:r>
        <w:rPr>
          <w:rFonts w:hint="eastAsia" w:ascii="宋体" w:hAnsi="宋体" w:cs="宋体"/>
          <w:sz w:val="22"/>
          <w:szCs w:val="28"/>
        </w:rPr>
        <w:t>企业名称（盖章）：</w:t>
      </w:r>
    </w:p>
    <w:p>
      <w:pPr>
        <w:spacing w:line="480" w:lineRule="auto"/>
        <w:ind w:firstLine="4840" w:firstLineChars="2200"/>
        <w:rPr>
          <w:rFonts w:ascii="宋体" w:hAnsi="宋体" w:cs="宋体"/>
          <w:sz w:val="22"/>
          <w:szCs w:val="28"/>
        </w:rPr>
      </w:pPr>
      <w:r>
        <w:rPr>
          <w:rFonts w:hint="eastAsia" w:ascii="宋体" w:hAnsi="宋体" w:cs="宋体"/>
          <w:sz w:val="22"/>
          <w:szCs w:val="28"/>
        </w:rPr>
        <w:t>日期：</w:t>
      </w:r>
    </w:p>
    <w:p>
      <w:pPr>
        <w:spacing w:line="300" w:lineRule="auto"/>
        <w:rPr>
          <w:rFonts w:ascii="宋体" w:hAnsi="宋体"/>
          <w:spacing w:val="6"/>
          <w:sz w:val="22"/>
          <w:szCs w:val="22"/>
        </w:rPr>
      </w:pPr>
      <w:r>
        <w:rPr>
          <w:rFonts w:hint="eastAsia" w:ascii="宋体" w:hAnsi="宋体"/>
          <w:spacing w:val="6"/>
          <w:sz w:val="22"/>
          <w:szCs w:val="22"/>
        </w:rPr>
        <w:t>注：1、从业人员、营业收入，资产总额填报上一年度数据，无上一年度数据的新成立企业可不填报。</w:t>
      </w:r>
    </w:p>
    <w:p>
      <w:pPr>
        <w:spacing w:line="300" w:lineRule="auto"/>
        <w:rPr>
          <w:rFonts w:ascii="宋体" w:hAnsi="宋体"/>
          <w:spacing w:val="6"/>
          <w:sz w:val="22"/>
          <w:szCs w:val="22"/>
        </w:rPr>
      </w:pPr>
      <w:r>
        <w:rPr>
          <w:rFonts w:hint="eastAsia" w:ascii="宋体" w:hAnsi="宋体"/>
          <w:spacing w:val="6"/>
          <w:sz w:val="22"/>
          <w:szCs w:val="22"/>
        </w:rPr>
        <w:t>2、中小企业应当按照《政府采购促进中小企业发展管理办法》（财库〔2020〕46号）规定和《中小企业划型标准规定》（工信部联企业〔2011〕300号），如实填写并提交《中小企业声明函》。供应商可通过工业化和信息化部网站自测小程序，识别企业规模类型。（</w:t>
      </w:r>
      <w:r>
        <w:fldChar w:fldCharType="begin"/>
      </w:r>
      <w:r>
        <w:instrText xml:space="preserve"> HYPERLINK "http://202.106.120.146/baosong/appweb/orgScale.html" </w:instrText>
      </w:r>
      <w:r>
        <w:fldChar w:fldCharType="separate"/>
      </w:r>
      <w:r>
        <w:rPr>
          <w:rStyle w:val="38"/>
          <w:rFonts w:hint="eastAsia" w:ascii="宋体" w:hAnsi="宋体"/>
          <w:spacing w:val="6"/>
          <w:sz w:val="22"/>
          <w:szCs w:val="22"/>
        </w:rPr>
        <w:t>http://202.106.120.146/baosong/appweb/orgScale.html</w:t>
      </w:r>
      <w:r>
        <w:rPr>
          <w:rStyle w:val="38"/>
          <w:rFonts w:hint="eastAsia" w:ascii="宋体" w:hAnsi="宋体"/>
          <w:spacing w:val="6"/>
          <w:sz w:val="22"/>
          <w:szCs w:val="22"/>
        </w:rPr>
        <w:fldChar w:fldCharType="end"/>
      </w:r>
      <w:r>
        <w:rPr>
          <w:rFonts w:hint="eastAsia" w:ascii="宋体" w:hAnsi="宋体"/>
          <w:spacing w:val="6"/>
          <w:sz w:val="22"/>
          <w:szCs w:val="22"/>
        </w:rPr>
        <w:t>）</w:t>
      </w:r>
    </w:p>
    <w:p>
      <w:pPr>
        <w:pStyle w:val="5"/>
        <w:numPr>
          <w:ilvl w:val="0"/>
          <w:numId w:val="0"/>
        </w:numPr>
        <w:ind w:left="1588" w:hanging="737"/>
      </w:pPr>
    </w:p>
    <w:p>
      <w:pPr>
        <w:spacing w:line="588" w:lineRule="exact"/>
        <w:jc w:val="center"/>
        <w:rPr>
          <w:rFonts w:ascii="仿宋_GB2312" w:eastAsia="仿宋_GB2312"/>
          <w:b/>
          <w:spacing w:val="6"/>
          <w:sz w:val="32"/>
          <w:szCs w:val="32"/>
        </w:rPr>
      </w:pPr>
      <w:r>
        <w:rPr>
          <w:rFonts w:hint="eastAsia" w:ascii="宋体"/>
          <w:b/>
          <w:color w:val="000000" w:themeColor="text1"/>
          <w:sz w:val="28"/>
          <w:szCs w:val="28"/>
          <w14:textFill>
            <w14:solidFill>
              <w14:schemeClr w14:val="tx1"/>
            </w14:solidFill>
          </w14:textFill>
        </w:rPr>
        <w:t>残</w:t>
      </w:r>
      <w:bookmarkStart w:id="320" w:name="OLE_LINK14"/>
      <w:bookmarkStart w:id="321" w:name="OLE_LINK13"/>
      <w:bookmarkStart w:id="322" w:name="_Toc337822261"/>
      <w:bookmarkStart w:id="323" w:name="_Toc86124091"/>
      <w:r>
        <w:rPr>
          <w:rFonts w:hint="eastAsia" w:ascii="宋体"/>
          <w:b/>
          <w:color w:val="000000" w:themeColor="text1"/>
          <w:sz w:val="28"/>
          <w:szCs w:val="28"/>
          <w14:textFill>
            <w14:solidFill>
              <w14:schemeClr w14:val="tx1"/>
            </w14:solidFill>
          </w14:textFill>
        </w:rPr>
        <w:t>疾人福利性单位声明函</w:t>
      </w:r>
    </w:p>
    <w:p>
      <w:pPr>
        <w:spacing w:line="588" w:lineRule="exact"/>
        <w:rPr>
          <w:rFonts w:ascii="仿宋_GB2312" w:eastAsia="仿宋_GB2312"/>
          <w:b/>
          <w:spacing w:val="6"/>
          <w:sz w:val="30"/>
          <w:szCs w:val="30"/>
        </w:rPr>
      </w:pPr>
    </w:p>
    <w:bookmarkEnd w:id="320"/>
    <w:bookmarkEnd w:id="321"/>
    <w:p>
      <w:pPr>
        <w:spacing w:line="360" w:lineRule="auto"/>
        <w:ind w:firstLine="504" w:firstLineChars="200"/>
        <w:rPr>
          <w:rFonts w:asciiTheme="minorEastAsia" w:hAnsiTheme="minorEastAsia" w:eastAsiaTheme="minorEastAsia"/>
          <w:spacing w:val="6"/>
          <w:sz w:val="24"/>
        </w:rPr>
      </w:pPr>
      <w:r>
        <w:rPr>
          <w:rFonts w:hint="eastAsia" w:asciiTheme="minorEastAsia" w:hAnsiTheme="minorEastAsia" w:eastAsiaTheme="minorEastAsia"/>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sz w:val="24"/>
        </w:rPr>
        <w:t>〔2017〕 141</w:t>
      </w:r>
      <w:r>
        <w:rPr>
          <w:rFonts w:hint="eastAsia" w:asciiTheme="minorEastAsia" w:hAnsiTheme="minorEastAsia" w:eastAsia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Theme="minorEastAsia" w:hAnsiTheme="minorEastAsia" w:eastAsiaTheme="minorEastAsia"/>
          <w:spacing w:val="6"/>
          <w:sz w:val="24"/>
        </w:rPr>
      </w:pPr>
      <w:r>
        <w:rPr>
          <w:rFonts w:hint="eastAsia" w:asciiTheme="minorEastAsia" w:hAnsiTheme="minorEastAsia" w:eastAsiaTheme="minorEastAsia"/>
          <w:spacing w:val="6"/>
          <w:sz w:val="24"/>
        </w:rPr>
        <w:t>本单位对上述声明的真实性负责。如有虚假，将依法承担相应责任。</w:t>
      </w:r>
    </w:p>
    <w:p>
      <w:pPr>
        <w:spacing w:line="360" w:lineRule="auto"/>
        <w:ind w:firstLine="504" w:firstLineChars="200"/>
        <w:rPr>
          <w:rFonts w:asciiTheme="minorEastAsia" w:hAnsiTheme="minorEastAsia" w:eastAsiaTheme="minorEastAsia"/>
          <w:spacing w:val="6"/>
          <w:sz w:val="24"/>
        </w:rPr>
      </w:pPr>
    </w:p>
    <w:p>
      <w:pPr>
        <w:spacing w:line="360" w:lineRule="auto"/>
        <w:ind w:firstLine="504" w:firstLineChars="200"/>
        <w:rPr>
          <w:rFonts w:asciiTheme="minorEastAsia" w:hAnsiTheme="minorEastAsia" w:eastAsiaTheme="minorEastAsia"/>
          <w:spacing w:val="6"/>
          <w:sz w:val="24"/>
        </w:rPr>
      </w:pPr>
    </w:p>
    <w:p>
      <w:pPr>
        <w:tabs>
          <w:tab w:val="left" w:pos="4860"/>
        </w:tabs>
        <w:spacing w:line="360" w:lineRule="auto"/>
        <w:ind w:right="1560" w:firstLine="504" w:firstLineChars="200"/>
        <w:jc w:val="center"/>
        <w:rPr>
          <w:rFonts w:asciiTheme="minorEastAsia" w:hAnsiTheme="minorEastAsia" w:eastAsiaTheme="minorEastAsia"/>
          <w:spacing w:val="6"/>
          <w:sz w:val="24"/>
        </w:rPr>
      </w:pPr>
      <w:r>
        <w:rPr>
          <w:rFonts w:hint="eastAsia" w:asciiTheme="minorEastAsia" w:hAnsiTheme="minorEastAsia" w:eastAsiaTheme="minorEastAsia"/>
          <w:spacing w:val="6"/>
          <w:sz w:val="24"/>
        </w:rPr>
        <w:t xml:space="preserve">               单位名称（盖章）：</w:t>
      </w:r>
    </w:p>
    <w:p>
      <w:pPr>
        <w:spacing w:line="360" w:lineRule="auto"/>
        <w:ind w:right="504" w:firstLine="3402" w:firstLineChars="1350"/>
        <w:rPr>
          <w:rFonts w:asciiTheme="minorEastAsia" w:hAnsiTheme="minorEastAsia" w:eastAsiaTheme="minorEastAsia"/>
          <w:spacing w:val="6"/>
          <w:sz w:val="24"/>
        </w:rPr>
      </w:pPr>
      <w:r>
        <w:rPr>
          <w:rFonts w:hint="eastAsia" w:asciiTheme="minorEastAsia" w:hAnsiTheme="minorEastAsia" w:eastAsiaTheme="minorEastAsia"/>
          <w:spacing w:val="6"/>
          <w:sz w:val="24"/>
        </w:rPr>
        <w:t>日  期：</w:t>
      </w:r>
    </w:p>
    <w:p>
      <w:pPr>
        <w:spacing w:line="360" w:lineRule="auto"/>
        <w:ind w:left="283" w:leftChars="135" w:firstLine="378" w:firstLineChars="150"/>
        <w:jc w:val="left"/>
        <w:rPr>
          <w:rFonts w:asciiTheme="minorEastAsia" w:hAnsiTheme="minorEastAsia" w:eastAsiaTheme="minorEastAsia"/>
          <w:spacing w:val="6"/>
          <w:sz w:val="24"/>
        </w:rPr>
      </w:pPr>
    </w:p>
    <w:p>
      <w:pPr>
        <w:spacing w:line="360" w:lineRule="auto"/>
        <w:ind w:left="283" w:leftChars="135" w:firstLine="378" w:firstLineChars="150"/>
        <w:jc w:val="left"/>
        <w:rPr>
          <w:rFonts w:asciiTheme="minorEastAsia" w:hAnsiTheme="minorEastAsia" w:eastAsiaTheme="minorEastAsia"/>
          <w:spacing w:val="6"/>
          <w:sz w:val="24"/>
        </w:rPr>
      </w:pPr>
    </w:p>
    <w:p>
      <w:pPr>
        <w:widowControl/>
        <w:jc w:val="center"/>
        <w:rPr>
          <w:rFonts w:asciiTheme="minorEastAsia" w:hAnsiTheme="minorEastAsia" w:eastAsiaTheme="minorEastAsia"/>
          <w:spacing w:val="6"/>
          <w:sz w:val="24"/>
        </w:rPr>
      </w:pPr>
      <w:r>
        <w:rPr>
          <w:rFonts w:hint="eastAsia" w:ascii="宋体"/>
          <w:b/>
          <w:color w:val="000000" w:themeColor="text1"/>
          <w:sz w:val="28"/>
          <w:szCs w:val="28"/>
          <w14:textFill>
            <w14:solidFill>
              <w14:schemeClr w14:val="tx1"/>
            </w14:solidFill>
          </w14:textFill>
        </w:rPr>
        <w:t>监狱企业证明文件</w:t>
      </w:r>
    </w:p>
    <w:p>
      <w:pPr>
        <w:spacing w:line="360" w:lineRule="auto"/>
        <w:ind w:firstLine="480" w:firstLineChars="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监狱企业参加政府采购活动时，应当提供由省级以上监狱管理局、戒毒管理局（含新疆生产建设兵团）出具的属于监狱企业的证明文件。</w:t>
      </w:r>
    </w:p>
    <w:p>
      <w:pPr>
        <w:spacing w:line="360" w:lineRule="auto"/>
        <w:rPr>
          <w:rFonts w:asciiTheme="minorEastAsia" w:hAnsiTheme="minorEastAsia" w:eastAsiaTheme="minorEastAsia"/>
          <w:color w:val="000000"/>
          <w:sz w:val="24"/>
        </w:rPr>
      </w:pPr>
    </w:p>
    <w:p>
      <w:pPr>
        <w:spacing w:line="360" w:lineRule="auto"/>
        <w:rPr>
          <w:rFonts w:asciiTheme="minorEastAsia" w:hAnsiTheme="minorEastAsia" w:eastAsiaTheme="minorEastAsia"/>
          <w:color w:val="000000"/>
          <w:sz w:val="24"/>
        </w:rPr>
      </w:pPr>
    </w:p>
    <w:p>
      <w:pPr>
        <w:spacing w:line="360" w:lineRule="auto"/>
        <w:ind w:firstLine="420" w:firstLineChars="150"/>
        <w:jc w:val="center"/>
        <w:rPr>
          <w:rFonts w:ascii="宋体" w:hAnsi="宋体" w:cs="宋体"/>
          <w:b/>
          <w:color w:val="000000"/>
          <w:sz w:val="28"/>
          <w:szCs w:val="28"/>
        </w:rPr>
      </w:pPr>
      <w:r>
        <w:rPr>
          <w:rFonts w:hint="eastAsia" w:ascii="宋体" w:hAnsi="宋体" w:cs="宋体"/>
          <w:b/>
          <w:color w:val="000000"/>
          <w:sz w:val="28"/>
          <w:szCs w:val="28"/>
        </w:rPr>
        <w:t>聘用建档立卡贫困人员企业证明文件</w:t>
      </w:r>
    </w:p>
    <w:p>
      <w:pPr>
        <w:spacing w:line="360" w:lineRule="auto"/>
        <w:jc w:val="center"/>
        <w:rPr>
          <w:rFonts w:ascii="宋体" w:hAnsi="宋体" w:cs="宋体"/>
          <w:bCs/>
          <w:color w:val="000000"/>
          <w:szCs w:val="21"/>
        </w:rPr>
      </w:pPr>
      <w:r>
        <w:rPr>
          <w:rFonts w:hint="eastAsia" w:ascii="宋体" w:hAnsi="宋体" w:cs="宋体"/>
          <w:bCs/>
          <w:color w:val="000000"/>
          <w:szCs w:val="21"/>
        </w:rPr>
        <w:t>请提供相关证明文件。</w:t>
      </w:r>
    </w:p>
    <w:p/>
    <w:p/>
    <w:p/>
    <w:p/>
    <w:p/>
    <w:p>
      <w:pPr>
        <w:widowControl/>
        <w:jc w:val="center"/>
        <w:rPr>
          <w:rFonts w:ascii="宋体" w:hAnsi="宋体" w:cs="宋体"/>
          <w:b/>
          <w:color w:val="000000"/>
          <w:sz w:val="28"/>
          <w:szCs w:val="28"/>
        </w:rPr>
      </w:pPr>
      <w:r>
        <w:rPr>
          <w:rFonts w:hint="eastAsia" w:ascii="宋体" w:hAnsi="宋体" w:cs="宋体"/>
          <w:b/>
          <w:color w:val="000000"/>
          <w:sz w:val="28"/>
          <w:szCs w:val="28"/>
        </w:rPr>
        <w:t>政府采购政策情况表</w:t>
      </w:r>
    </w:p>
    <w:p>
      <w:pPr>
        <w:widowControl/>
        <w:jc w:val="center"/>
        <w:rPr>
          <w:rFonts w:ascii="宋体" w:hAnsi="宋体" w:cs="宋体"/>
          <w:b/>
          <w:color w:val="000000"/>
          <w:sz w:val="28"/>
          <w:szCs w:val="28"/>
        </w:rPr>
      </w:pPr>
      <w:r>
        <w:rPr>
          <w:rFonts w:hint="eastAsia" w:ascii="宋体" w:hAnsi="宋体" w:cs="宋体"/>
          <w:b/>
          <w:color w:val="000000"/>
          <w:sz w:val="28"/>
          <w:szCs w:val="28"/>
        </w:rPr>
        <w:t>（服务类）</w:t>
      </w:r>
    </w:p>
    <w:p>
      <w:pPr>
        <w:spacing w:line="460" w:lineRule="exact"/>
        <w:jc w:val="center"/>
        <w:rPr>
          <w:sz w:val="24"/>
        </w:rPr>
      </w:pPr>
    </w:p>
    <w:p>
      <w:pPr>
        <w:spacing w:line="460" w:lineRule="exact"/>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spacing w:line="460" w:lineRule="exact"/>
        <w:rPr>
          <w:rFonts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p>
      <w:pPr>
        <w:spacing w:line="460" w:lineRule="exact"/>
        <w:rPr>
          <w:rFonts w:ascii="宋体" w:hAnsi="宋体" w:cs="宋体"/>
          <w:sz w:val="24"/>
          <w:u w:val="single"/>
        </w:rPr>
      </w:pPr>
      <w:r>
        <w:rPr>
          <w:rFonts w:hint="eastAsia" w:ascii="宋体" w:hAnsi="宋体" w:cs="宋体"/>
          <w:sz w:val="24"/>
        </w:rPr>
        <w:t>包号：</w:t>
      </w:r>
      <w:r>
        <w:rPr>
          <w:rFonts w:hint="eastAsia" w:ascii="宋体" w:hAnsi="宋体" w:cs="宋体"/>
          <w:sz w:val="24"/>
          <w:u w:val="single"/>
        </w:rPr>
        <w:t xml:space="preserve">                        </w:t>
      </w:r>
    </w:p>
    <w:p>
      <w:pPr>
        <w:spacing w:line="460" w:lineRule="exact"/>
        <w:rPr>
          <w:rFonts w:ascii="宋体" w:hAnsi="宋体" w:cs="宋体"/>
          <w:sz w:val="24"/>
        </w:rPr>
      </w:pPr>
      <w:r>
        <w:rPr>
          <w:rFonts w:hint="eastAsia" w:ascii="宋体" w:hAnsi="宋体" w:cs="宋体"/>
          <w:sz w:val="24"/>
        </w:rPr>
        <w:t>填报要求：</w:t>
      </w:r>
    </w:p>
    <w:p>
      <w:pPr>
        <w:spacing w:line="460" w:lineRule="exact"/>
        <w:rPr>
          <w:rFonts w:ascii="宋体" w:hAnsi="宋体" w:cs="宋体"/>
          <w:sz w:val="24"/>
        </w:rPr>
      </w:pPr>
      <w:r>
        <w:rPr>
          <w:rFonts w:hint="eastAsia" w:ascii="宋体" w:hAnsi="宋体" w:cs="宋体"/>
          <w:sz w:val="24"/>
        </w:rPr>
        <w:t>1.本表的服务名称、金额应与《分项报价表》一致。</w:t>
      </w:r>
    </w:p>
    <w:p>
      <w:pPr>
        <w:spacing w:line="460" w:lineRule="exact"/>
        <w:rPr>
          <w:rFonts w:ascii="宋体" w:hAnsi="宋体" w:cs="宋体"/>
          <w:sz w:val="24"/>
        </w:rPr>
      </w:pPr>
      <w:r>
        <w:rPr>
          <w:rFonts w:hint="eastAsia" w:ascii="宋体" w:hAnsi="宋体" w:cs="宋体"/>
          <w:sz w:val="24"/>
        </w:rPr>
        <w:t>2.“</w:t>
      </w:r>
      <w:r>
        <w:rPr>
          <w:rFonts w:hint="eastAsia" w:ascii="宋体" w:hAnsi="宋体" w:cs="宋体"/>
          <w:sz w:val="24"/>
          <w:lang w:val="en-GB"/>
        </w:rPr>
        <w:t>服务商</w:t>
      </w:r>
      <w:r>
        <w:rPr>
          <w:rFonts w:hint="eastAsia" w:ascii="宋体" w:hAnsi="宋体" w:cs="宋体"/>
          <w:sz w:val="24"/>
        </w:rPr>
        <w:t>企业类型”栏填写内容为“微型”、“小型”、“监狱企业”或“残疾人福利性单位”。</w:t>
      </w:r>
    </w:p>
    <w:p>
      <w:pPr>
        <w:spacing w:line="460" w:lineRule="exact"/>
        <w:rPr>
          <w:rFonts w:ascii="宋体" w:hAnsi="宋体" w:cs="宋体"/>
          <w:sz w:val="24"/>
        </w:rPr>
      </w:pPr>
      <w:r>
        <w:rPr>
          <w:rFonts w:hint="eastAsia" w:ascii="宋体" w:hAnsi="宋体" w:cs="宋体"/>
          <w:sz w:val="24"/>
        </w:rPr>
        <w:t>3.请供应商正确填写本表，所填内容将作为评审的依据。其内容或数据应与对应的证明资料相符，如果填写不完整或有误，不再享受上述政策优惠。</w:t>
      </w:r>
    </w:p>
    <w:p>
      <w:pPr>
        <w:spacing w:line="460" w:lineRule="exact"/>
        <w:ind w:firstLine="7200" w:firstLineChars="3000"/>
        <w:rPr>
          <w:rFonts w:ascii="宋体" w:hAnsi="宋体" w:cs="宋体"/>
          <w:sz w:val="24"/>
        </w:rPr>
      </w:pPr>
      <w:r>
        <w:rPr>
          <w:rFonts w:hint="eastAsia" w:ascii="宋体" w:hAnsi="宋体" w:cs="宋体"/>
          <w:sz w:val="24"/>
        </w:rPr>
        <w:t>单位：元</w:t>
      </w:r>
    </w:p>
    <w:tbl>
      <w:tblPr>
        <w:tblStyle w:val="32"/>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3044"/>
        <w:gridCol w:w="2403"/>
        <w:gridCol w:w="2004"/>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Merge w:val="restart"/>
            <w:vAlign w:val="center"/>
          </w:tcPr>
          <w:p>
            <w:pPr>
              <w:tabs>
                <w:tab w:val="left" w:pos="1260"/>
              </w:tabs>
              <w:adjustRightInd w:val="0"/>
              <w:snapToGrid w:val="0"/>
              <w:jc w:val="center"/>
              <w:rPr>
                <w:rFonts w:ascii="宋体" w:hAnsi="宋体" w:cs="宋体"/>
                <w:sz w:val="24"/>
                <w:lang w:val="en-GB"/>
              </w:rPr>
            </w:pPr>
            <w:r>
              <w:rPr>
                <w:rFonts w:hint="eastAsia" w:ascii="宋体" w:hAnsi="宋体" w:cs="宋体"/>
                <w:sz w:val="24"/>
                <w:lang w:val="en-GB"/>
              </w:rPr>
              <w:t>中小企业、监狱企业、残疾人福利性单位扶持政策</w:t>
            </w:r>
          </w:p>
        </w:tc>
        <w:tc>
          <w:tcPr>
            <w:tcW w:w="9247" w:type="dxa"/>
            <w:gridSpan w:val="4"/>
            <w:vAlign w:val="center"/>
          </w:tcPr>
          <w:p>
            <w:pPr>
              <w:tabs>
                <w:tab w:val="left" w:pos="1260"/>
              </w:tabs>
              <w:adjustRightInd w:val="0"/>
              <w:snapToGrid w:val="0"/>
              <w:rPr>
                <w:rFonts w:ascii="宋体" w:hAnsi="宋体" w:cs="宋体"/>
                <w:b/>
                <w:sz w:val="24"/>
              </w:rPr>
            </w:pPr>
            <w:r>
              <w:rPr>
                <w:rFonts w:hint="eastAsia" w:ascii="宋体" w:hAnsi="宋体" w:cs="宋体"/>
                <w:b/>
                <w:sz w:val="24"/>
                <w:lang w:val="en-GB"/>
              </w:rPr>
              <w:t xml:space="preserve">1. </w:t>
            </w:r>
            <w:r>
              <w:rPr>
                <w:rFonts w:hint="eastAsia" w:ascii="宋体" w:hAnsi="宋体" w:cs="宋体"/>
                <w:b/>
                <w:sz w:val="24"/>
              </w:rPr>
              <w:t>由大型企业提供服务的，不享受中小企业扶持政策，无需填写对应内容</w:t>
            </w:r>
          </w:p>
          <w:p>
            <w:pPr>
              <w:tabs>
                <w:tab w:val="left" w:pos="1260"/>
              </w:tabs>
              <w:adjustRightInd w:val="0"/>
              <w:snapToGrid w:val="0"/>
              <w:rPr>
                <w:rFonts w:ascii="宋体" w:hAnsi="宋体" w:cs="宋体"/>
                <w:b/>
                <w:sz w:val="24"/>
              </w:rPr>
            </w:pPr>
            <w:r>
              <w:rPr>
                <w:rFonts w:hint="eastAsia" w:ascii="宋体" w:hAnsi="宋体" w:cs="宋体"/>
                <w:b/>
                <w:sz w:val="24"/>
              </w:rPr>
              <w:t>2.</w:t>
            </w:r>
            <w:r>
              <w:rPr>
                <w:rFonts w:hint="eastAsia" w:ascii="宋体" w:hAnsi="宋体" w:cs="宋体"/>
                <w:sz w:val="24"/>
              </w:rPr>
              <w:t xml:space="preserve"> </w:t>
            </w:r>
            <w:r>
              <w:rPr>
                <w:rFonts w:hint="eastAsia" w:ascii="宋体" w:hAnsi="宋体" w:cs="宋体"/>
                <w:b/>
                <w:sz w:val="24"/>
              </w:rPr>
              <w:t>非大型企业提供服务的，只填写小型、微型企业提供的服务</w:t>
            </w:r>
          </w:p>
          <w:p>
            <w:pPr>
              <w:tabs>
                <w:tab w:val="left" w:pos="1260"/>
              </w:tabs>
              <w:adjustRightInd w:val="0"/>
              <w:snapToGrid w:val="0"/>
              <w:rPr>
                <w:rFonts w:ascii="宋体" w:hAnsi="宋体" w:cs="宋体"/>
                <w:b/>
                <w:sz w:val="24"/>
              </w:rPr>
            </w:pPr>
            <w:r>
              <w:rPr>
                <w:rFonts w:hint="eastAsia" w:ascii="宋体" w:hAnsi="宋体" w:cs="宋体"/>
                <w:b/>
                <w:sz w:val="24"/>
              </w:rPr>
              <w:t>3. 非“监狱企业”、“残疾人福利性单位”，无需填写对应内容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Merge w:val="continue"/>
            <w:vAlign w:val="center"/>
          </w:tcPr>
          <w:p>
            <w:pPr>
              <w:tabs>
                <w:tab w:val="left" w:pos="1260"/>
              </w:tabs>
              <w:adjustRightInd w:val="0"/>
              <w:snapToGrid w:val="0"/>
              <w:jc w:val="center"/>
              <w:rPr>
                <w:rFonts w:ascii="宋体" w:hAnsi="宋体" w:cs="宋体"/>
                <w:sz w:val="24"/>
                <w:lang w:val="en-GB"/>
              </w:rPr>
            </w:pPr>
          </w:p>
        </w:tc>
        <w:tc>
          <w:tcPr>
            <w:tcW w:w="3044" w:type="dxa"/>
            <w:vAlign w:val="center"/>
          </w:tcPr>
          <w:p>
            <w:pPr>
              <w:tabs>
                <w:tab w:val="left" w:pos="1260"/>
              </w:tabs>
              <w:adjustRightInd w:val="0"/>
              <w:snapToGrid w:val="0"/>
              <w:jc w:val="center"/>
              <w:rPr>
                <w:rFonts w:ascii="宋体" w:hAnsi="宋体" w:cs="宋体"/>
                <w:sz w:val="24"/>
                <w:lang w:val="en-GB"/>
              </w:rPr>
            </w:pPr>
            <w:r>
              <w:rPr>
                <w:rFonts w:hint="eastAsia" w:ascii="宋体" w:hAnsi="宋体" w:cs="宋体"/>
                <w:sz w:val="24"/>
              </w:rPr>
              <w:t>服务名称</w:t>
            </w:r>
          </w:p>
        </w:tc>
        <w:tc>
          <w:tcPr>
            <w:tcW w:w="2403" w:type="dxa"/>
            <w:vAlign w:val="center"/>
          </w:tcPr>
          <w:p>
            <w:pPr>
              <w:tabs>
                <w:tab w:val="left" w:pos="1260"/>
              </w:tabs>
              <w:adjustRightInd w:val="0"/>
              <w:snapToGrid w:val="0"/>
              <w:jc w:val="center"/>
              <w:rPr>
                <w:rFonts w:ascii="宋体" w:hAnsi="宋体" w:cs="宋体"/>
                <w:sz w:val="24"/>
                <w:lang w:val="en-GB"/>
              </w:rPr>
            </w:pPr>
            <w:r>
              <w:rPr>
                <w:rFonts w:hint="eastAsia" w:ascii="宋体" w:hAnsi="宋体" w:cs="宋体"/>
                <w:sz w:val="24"/>
                <w:lang w:val="en-GB"/>
              </w:rPr>
              <w:t>服务商</w:t>
            </w:r>
          </w:p>
        </w:tc>
        <w:tc>
          <w:tcPr>
            <w:tcW w:w="2004" w:type="dxa"/>
            <w:vAlign w:val="center"/>
          </w:tcPr>
          <w:p>
            <w:pPr>
              <w:tabs>
                <w:tab w:val="left" w:pos="1260"/>
              </w:tabs>
              <w:adjustRightInd w:val="0"/>
              <w:snapToGrid w:val="0"/>
              <w:jc w:val="center"/>
              <w:rPr>
                <w:rFonts w:ascii="宋体" w:hAnsi="宋体" w:cs="宋体"/>
                <w:sz w:val="24"/>
                <w:lang w:val="en-GB"/>
              </w:rPr>
            </w:pPr>
            <w:r>
              <w:rPr>
                <w:rFonts w:hint="eastAsia" w:ascii="宋体" w:hAnsi="宋体" w:cs="宋体"/>
                <w:sz w:val="24"/>
                <w:lang w:val="en-GB"/>
              </w:rPr>
              <w:t>服务商</w:t>
            </w:r>
          </w:p>
          <w:p>
            <w:pPr>
              <w:tabs>
                <w:tab w:val="left" w:pos="1260"/>
              </w:tabs>
              <w:adjustRightInd w:val="0"/>
              <w:snapToGrid w:val="0"/>
              <w:jc w:val="center"/>
              <w:rPr>
                <w:rFonts w:ascii="宋体" w:hAnsi="宋体" w:cs="宋体"/>
                <w:sz w:val="24"/>
                <w:lang w:val="en-GB"/>
              </w:rPr>
            </w:pPr>
            <w:r>
              <w:rPr>
                <w:rFonts w:hint="eastAsia" w:ascii="宋体" w:hAnsi="宋体" w:cs="宋体"/>
                <w:sz w:val="24"/>
                <w:lang w:val="en-GB"/>
              </w:rPr>
              <w:t>企业类型</w:t>
            </w:r>
          </w:p>
        </w:tc>
        <w:tc>
          <w:tcPr>
            <w:tcW w:w="1796" w:type="dxa"/>
            <w:vAlign w:val="center"/>
          </w:tcPr>
          <w:p>
            <w:pPr>
              <w:tabs>
                <w:tab w:val="left" w:pos="1260"/>
              </w:tabs>
              <w:adjustRightInd w:val="0"/>
              <w:snapToGrid w:val="0"/>
              <w:jc w:val="center"/>
              <w:rPr>
                <w:rFonts w:ascii="宋体" w:hAnsi="宋体" w:cs="宋体"/>
                <w:sz w:val="24"/>
                <w:lang w:val="en-GB"/>
              </w:rPr>
            </w:pPr>
            <w:r>
              <w:rPr>
                <w:rFonts w:hint="eastAsia" w:ascii="宋体" w:hAnsi="宋体" w:cs="宋体"/>
                <w:sz w:val="24"/>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Merge w:val="continue"/>
            <w:vAlign w:val="center"/>
          </w:tcPr>
          <w:p>
            <w:pPr>
              <w:tabs>
                <w:tab w:val="left" w:pos="1260"/>
              </w:tabs>
              <w:adjustRightInd w:val="0"/>
              <w:snapToGrid w:val="0"/>
              <w:jc w:val="center"/>
              <w:rPr>
                <w:rFonts w:ascii="宋体" w:hAnsi="宋体" w:cs="宋体"/>
                <w:sz w:val="24"/>
                <w:lang w:val="en-GB"/>
              </w:rPr>
            </w:pPr>
          </w:p>
        </w:tc>
        <w:tc>
          <w:tcPr>
            <w:tcW w:w="3044" w:type="dxa"/>
            <w:vAlign w:val="center"/>
          </w:tcPr>
          <w:p>
            <w:pPr>
              <w:tabs>
                <w:tab w:val="left" w:pos="1260"/>
              </w:tabs>
              <w:adjustRightInd w:val="0"/>
              <w:snapToGrid w:val="0"/>
              <w:jc w:val="center"/>
              <w:rPr>
                <w:rFonts w:ascii="宋体" w:hAnsi="宋体" w:cs="宋体"/>
                <w:sz w:val="24"/>
                <w:lang w:val="en-GB"/>
              </w:rPr>
            </w:pPr>
          </w:p>
        </w:tc>
        <w:tc>
          <w:tcPr>
            <w:tcW w:w="2403" w:type="dxa"/>
            <w:vAlign w:val="center"/>
          </w:tcPr>
          <w:p>
            <w:pPr>
              <w:tabs>
                <w:tab w:val="left" w:pos="1260"/>
              </w:tabs>
              <w:adjustRightInd w:val="0"/>
              <w:snapToGrid w:val="0"/>
              <w:jc w:val="center"/>
              <w:rPr>
                <w:rFonts w:ascii="宋体" w:hAnsi="宋体" w:cs="宋体"/>
                <w:sz w:val="24"/>
                <w:lang w:val="en-GB"/>
              </w:rPr>
            </w:pPr>
          </w:p>
        </w:tc>
        <w:tc>
          <w:tcPr>
            <w:tcW w:w="2004" w:type="dxa"/>
          </w:tcPr>
          <w:p>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796" w:type="dxa"/>
            <w:vAlign w:val="center"/>
          </w:tcPr>
          <w:p>
            <w:pPr>
              <w:tabs>
                <w:tab w:val="left" w:pos="1260"/>
              </w:tabs>
              <w:adjustRightInd w:val="0"/>
              <w:snapToGrid w:val="0"/>
              <w:jc w:val="center"/>
              <w:rPr>
                <w:rFonts w:ascii="宋体" w:hAnsi="宋体" w:cs="宋体"/>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Merge w:val="continue"/>
            <w:vAlign w:val="center"/>
          </w:tcPr>
          <w:p>
            <w:pPr>
              <w:tabs>
                <w:tab w:val="left" w:pos="1260"/>
              </w:tabs>
              <w:adjustRightInd w:val="0"/>
              <w:snapToGrid w:val="0"/>
              <w:jc w:val="center"/>
              <w:rPr>
                <w:rFonts w:ascii="宋体" w:hAnsi="宋体" w:cs="宋体"/>
                <w:sz w:val="24"/>
                <w:lang w:val="en-GB"/>
              </w:rPr>
            </w:pPr>
          </w:p>
        </w:tc>
        <w:tc>
          <w:tcPr>
            <w:tcW w:w="3044" w:type="dxa"/>
            <w:vAlign w:val="center"/>
          </w:tcPr>
          <w:p>
            <w:pPr>
              <w:tabs>
                <w:tab w:val="left" w:pos="1260"/>
              </w:tabs>
              <w:adjustRightInd w:val="0"/>
              <w:snapToGrid w:val="0"/>
              <w:jc w:val="center"/>
              <w:rPr>
                <w:rFonts w:ascii="宋体" w:hAnsi="宋体" w:cs="宋体"/>
                <w:sz w:val="24"/>
                <w:lang w:val="en-GB"/>
              </w:rPr>
            </w:pPr>
          </w:p>
        </w:tc>
        <w:tc>
          <w:tcPr>
            <w:tcW w:w="2403" w:type="dxa"/>
            <w:vAlign w:val="center"/>
          </w:tcPr>
          <w:p>
            <w:pPr>
              <w:tabs>
                <w:tab w:val="left" w:pos="1260"/>
              </w:tabs>
              <w:adjustRightInd w:val="0"/>
              <w:snapToGrid w:val="0"/>
              <w:jc w:val="center"/>
              <w:rPr>
                <w:rFonts w:ascii="宋体" w:hAnsi="宋体" w:cs="宋体"/>
                <w:sz w:val="24"/>
                <w:lang w:val="en-GB"/>
              </w:rPr>
            </w:pPr>
          </w:p>
        </w:tc>
        <w:tc>
          <w:tcPr>
            <w:tcW w:w="2004" w:type="dxa"/>
          </w:tcPr>
          <w:p>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796" w:type="dxa"/>
            <w:vAlign w:val="center"/>
          </w:tcPr>
          <w:p>
            <w:pPr>
              <w:tabs>
                <w:tab w:val="left" w:pos="1260"/>
              </w:tabs>
              <w:adjustRightInd w:val="0"/>
              <w:snapToGrid w:val="0"/>
              <w:jc w:val="center"/>
              <w:rPr>
                <w:rFonts w:ascii="宋体" w:hAnsi="宋体" w:cs="宋体"/>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Merge w:val="continue"/>
            <w:vAlign w:val="center"/>
          </w:tcPr>
          <w:p>
            <w:pPr>
              <w:tabs>
                <w:tab w:val="left" w:pos="1260"/>
              </w:tabs>
              <w:adjustRightInd w:val="0"/>
              <w:snapToGrid w:val="0"/>
              <w:jc w:val="center"/>
              <w:rPr>
                <w:rFonts w:ascii="宋体" w:hAnsi="宋体" w:cs="宋体"/>
                <w:sz w:val="24"/>
                <w:lang w:val="en-GB"/>
              </w:rPr>
            </w:pPr>
          </w:p>
        </w:tc>
        <w:tc>
          <w:tcPr>
            <w:tcW w:w="3044" w:type="dxa"/>
            <w:vAlign w:val="center"/>
          </w:tcPr>
          <w:p>
            <w:pPr>
              <w:tabs>
                <w:tab w:val="left" w:pos="1260"/>
              </w:tabs>
              <w:adjustRightInd w:val="0"/>
              <w:snapToGrid w:val="0"/>
              <w:jc w:val="center"/>
              <w:rPr>
                <w:rFonts w:ascii="宋体" w:hAnsi="宋体" w:cs="宋体"/>
                <w:sz w:val="24"/>
                <w:lang w:val="en-GB"/>
              </w:rPr>
            </w:pPr>
          </w:p>
        </w:tc>
        <w:tc>
          <w:tcPr>
            <w:tcW w:w="2403" w:type="dxa"/>
            <w:vAlign w:val="center"/>
          </w:tcPr>
          <w:p>
            <w:pPr>
              <w:tabs>
                <w:tab w:val="left" w:pos="1260"/>
              </w:tabs>
              <w:adjustRightInd w:val="0"/>
              <w:snapToGrid w:val="0"/>
              <w:jc w:val="center"/>
              <w:rPr>
                <w:rFonts w:ascii="宋体" w:hAnsi="宋体" w:cs="宋体"/>
                <w:sz w:val="24"/>
                <w:lang w:val="en-GB"/>
              </w:rPr>
            </w:pPr>
          </w:p>
        </w:tc>
        <w:tc>
          <w:tcPr>
            <w:tcW w:w="2004" w:type="dxa"/>
          </w:tcPr>
          <w:p>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796" w:type="dxa"/>
            <w:vAlign w:val="center"/>
          </w:tcPr>
          <w:p>
            <w:pPr>
              <w:tabs>
                <w:tab w:val="left" w:pos="1260"/>
              </w:tabs>
              <w:adjustRightInd w:val="0"/>
              <w:snapToGrid w:val="0"/>
              <w:jc w:val="center"/>
              <w:rPr>
                <w:rFonts w:ascii="宋体" w:hAnsi="宋体" w:cs="宋体"/>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Merge w:val="continue"/>
            <w:vAlign w:val="center"/>
          </w:tcPr>
          <w:p>
            <w:pPr>
              <w:tabs>
                <w:tab w:val="left" w:pos="1260"/>
              </w:tabs>
              <w:adjustRightInd w:val="0"/>
              <w:snapToGrid w:val="0"/>
              <w:jc w:val="center"/>
              <w:rPr>
                <w:rFonts w:ascii="宋体" w:hAnsi="宋体" w:cs="宋体"/>
                <w:sz w:val="24"/>
                <w:lang w:val="en-GB"/>
              </w:rPr>
            </w:pPr>
          </w:p>
        </w:tc>
        <w:tc>
          <w:tcPr>
            <w:tcW w:w="3044" w:type="dxa"/>
            <w:vAlign w:val="center"/>
          </w:tcPr>
          <w:p>
            <w:pPr>
              <w:tabs>
                <w:tab w:val="left" w:pos="1260"/>
              </w:tabs>
              <w:adjustRightInd w:val="0"/>
              <w:snapToGrid w:val="0"/>
              <w:jc w:val="center"/>
              <w:rPr>
                <w:rFonts w:ascii="宋体" w:hAnsi="宋体" w:cs="宋体"/>
                <w:sz w:val="24"/>
                <w:lang w:val="en-GB"/>
              </w:rPr>
            </w:pPr>
          </w:p>
        </w:tc>
        <w:tc>
          <w:tcPr>
            <w:tcW w:w="2403" w:type="dxa"/>
            <w:vAlign w:val="center"/>
          </w:tcPr>
          <w:p>
            <w:pPr>
              <w:tabs>
                <w:tab w:val="left" w:pos="1260"/>
              </w:tabs>
              <w:adjustRightInd w:val="0"/>
              <w:snapToGrid w:val="0"/>
              <w:jc w:val="center"/>
              <w:rPr>
                <w:rFonts w:ascii="宋体" w:hAnsi="宋体" w:cs="宋体"/>
                <w:sz w:val="24"/>
                <w:lang w:val="en-GB"/>
              </w:rPr>
            </w:pPr>
          </w:p>
        </w:tc>
        <w:tc>
          <w:tcPr>
            <w:tcW w:w="2004" w:type="dxa"/>
          </w:tcPr>
          <w:p>
            <w:pPr>
              <w:adjustRightInd w:val="0"/>
              <w:snapToGrid w:val="0"/>
              <w:rPr>
                <w:rFonts w:ascii="宋体" w:hAnsi="宋体" w:cs="宋体"/>
                <w:sz w:val="24"/>
              </w:rPr>
            </w:pPr>
            <w:r>
              <w:rPr>
                <w:rFonts w:hint="eastAsia" w:ascii="宋体" w:hAnsi="宋体" w:cs="宋体"/>
                <w:sz w:val="24"/>
                <w:lang w:val="en-GB"/>
              </w:rPr>
              <w:t>只填写小型/微型/监狱/残疾人福利性单位</w:t>
            </w:r>
          </w:p>
        </w:tc>
        <w:tc>
          <w:tcPr>
            <w:tcW w:w="1796" w:type="dxa"/>
            <w:vAlign w:val="center"/>
          </w:tcPr>
          <w:p>
            <w:pPr>
              <w:tabs>
                <w:tab w:val="left" w:pos="1260"/>
              </w:tabs>
              <w:adjustRightInd w:val="0"/>
              <w:snapToGrid w:val="0"/>
              <w:jc w:val="center"/>
              <w:rPr>
                <w:rFonts w:ascii="宋体" w:hAnsi="宋体" w:cs="宋体"/>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Merge w:val="continue"/>
            <w:vAlign w:val="center"/>
          </w:tcPr>
          <w:p>
            <w:pPr>
              <w:tabs>
                <w:tab w:val="left" w:pos="1260"/>
              </w:tabs>
              <w:adjustRightInd w:val="0"/>
              <w:snapToGrid w:val="0"/>
              <w:jc w:val="center"/>
              <w:rPr>
                <w:rFonts w:ascii="宋体" w:hAnsi="宋体" w:cs="宋体"/>
                <w:sz w:val="24"/>
                <w:lang w:val="en-GB"/>
              </w:rPr>
            </w:pPr>
          </w:p>
        </w:tc>
        <w:tc>
          <w:tcPr>
            <w:tcW w:w="3044" w:type="dxa"/>
            <w:vAlign w:val="center"/>
          </w:tcPr>
          <w:p>
            <w:pPr>
              <w:tabs>
                <w:tab w:val="left" w:pos="1260"/>
              </w:tabs>
              <w:adjustRightInd w:val="0"/>
              <w:snapToGrid w:val="0"/>
              <w:jc w:val="center"/>
              <w:rPr>
                <w:rFonts w:ascii="宋体" w:hAnsi="宋体" w:cs="宋体"/>
                <w:sz w:val="24"/>
                <w:lang w:val="en-GB"/>
              </w:rPr>
            </w:pPr>
          </w:p>
        </w:tc>
        <w:tc>
          <w:tcPr>
            <w:tcW w:w="2403" w:type="dxa"/>
            <w:vAlign w:val="center"/>
          </w:tcPr>
          <w:p>
            <w:pPr>
              <w:tabs>
                <w:tab w:val="left" w:pos="1260"/>
              </w:tabs>
              <w:adjustRightInd w:val="0"/>
              <w:snapToGrid w:val="0"/>
              <w:jc w:val="center"/>
              <w:rPr>
                <w:rFonts w:ascii="宋体" w:hAnsi="宋体" w:cs="宋体"/>
                <w:sz w:val="24"/>
                <w:lang w:val="en-GB"/>
              </w:rPr>
            </w:pPr>
          </w:p>
        </w:tc>
        <w:tc>
          <w:tcPr>
            <w:tcW w:w="2004" w:type="dxa"/>
            <w:vAlign w:val="center"/>
          </w:tcPr>
          <w:p>
            <w:pPr>
              <w:tabs>
                <w:tab w:val="left" w:pos="1260"/>
              </w:tabs>
              <w:adjustRightInd w:val="0"/>
              <w:snapToGrid w:val="0"/>
              <w:jc w:val="center"/>
              <w:rPr>
                <w:rFonts w:ascii="宋体" w:hAnsi="宋体" w:cs="宋体"/>
                <w:sz w:val="24"/>
                <w:lang w:val="en-GB"/>
              </w:rPr>
            </w:pPr>
          </w:p>
        </w:tc>
        <w:tc>
          <w:tcPr>
            <w:tcW w:w="1796" w:type="dxa"/>
            <w:vAlign w:val="center"/>
          </w:tcPr>
          <w:p>
            <w:pPr>
              <w:tabs>
                <w:tab w:val="left" w:pos="1260"/>
              </w:tabs>
              <w:adjustRightInd w:val="0"/>
              <w:snapToGrid w:val="0"/>
              <w:jc w:val="center"/>
              <w:rPr>
                <w:rFonts w:ascii="宋体" w:hAnsi="宋体" w:cs="宋体"/>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Merge w:val="continue"/>
            <w:vAlign w:val="center"/>
          </w:tcPr>
          <w:p>
            <w:pPr>
              <w:tabs>
                <w:tab w:val="left" w:pos="1260"/>
              </w:tabs>
              <w:adjustRightInd w:val="0"/>
              <w:snapToGrid w:val="0"/>
              <w:jc w:val="center"/>
              <w:rPr>
                <w:rFonts w:ascii="宋体" w:hAnsi="宋体" w:cs="宋体"/>
                <w:sz w:val="24"/>
                <w:lang w:val="en-GB"/>
              </w:rPr>
            </w:pPr>
          </w:p>
        </w:tc>
        <w:tc>
          <w:tcPr>
            <w:tcW w:w="3044" w:type="dxa"/>
            <w:vAlign w:val="center"/>
          </w:tcPr>
          <w:p>
            <w:pPr>
              <w:tabs>
                <w:tab w:val="left" w:pos="1260"/>
              </w:tabs>
              <w:adjustRightInd w:val="0"/>
              <w:snapToGrid w:val="0"/>
              <w:jc w:val="center"/>
              <w:rPr>
                <w:rFonts w:ascii="宋体" w:hAnsi="宋体" w:cs="宋体"/>
                <w:sz w:val="24"/>
                <w:lang w:val="en-GB"/>
              </w:rPr>
            </w:pPr>
          </w:p>
        </w:tc>
        <w:tc>
          <w:tcPr>
            <w:tcW w:w="2403" w:type="dxa"/>
            <w:vAlign w:val="center"/>
          </w:tcPr>
          <w:p>
            <w:pPr>
              <w:tabs>
                <w:tab w:val="left" w:pos="1260"/>
              </w:tabs>
              <w:adjustRightInd w:val="0"/>
              <w:snapToGrid w:val="0"/>
              <w:jc w:val="center"/>
              <w:rPr>
                <w:rFonts w:ascii="宋体" w:hAnsi="宋体" w:cs="宋体"/>
                <w:sz w:val="24"/>
                <w:lang w:val="en-GB"/>
              </w:rPr>
            </w:pPr>
          </w:p>
        </w:tc>
        <w:tc>
          <w:tcPr>
            <w:tcW w:w="2004" w:type="dxa"/>
            <w:vAlign w:val="center"/>
          </w:tcPr>
          <w:p>
            <w:pPr>
              <w:tabs>
                <w:tab w:val="left" w:pos="1260"/>
              </w:tabs>
              <w:adjustRightInd w:val="0"/>
              <w:snapToGrid w:val="0"/>
              <w:jc w:val="center"/>
              <w:rPr>
                <w:rFonts w:ascii="宋体" w:hAnsi="宋体" w:cs="宋体"/>
                <w:sz w:val="24"/>
                <w:lang w:val="en-GB"/>
              </w:rPr>
            </w:pPr>
          </w:p>
        </w:tc>
        <w:tc>
          <w:tcPr>
            <w:tcW w:w="1796" w:type="dxa"/>
            <w:vAlign w:val="center"/>
          </w:tcPr>
          <w:p>
            <w:pPr>
              <w:tabs>
                <w:tab w:val="left" w:pos="1260"/>
              </w:tabs>
              <w:adjustRightInd w:val="0"/>
              <w:snapToGrid w:val="0"/>
              <w:jc w:val="center"/>
              <w:rPr>
                <w:rFonts w:ascii="宋体" w:hAnsi="宋体" w:cs="宋体"/>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Merge w:val="continue"/>
            <w:vAlign w:val="center"/>
          </w:tcPr>
          <w:p>
            <w:pPr>
              <w:tabs>
                <w:tab w:val="left" w:pos="1260"/>
              </w:tabs>
              <w:adjustRightInd w:val="0"/>
              <w:snapToGrid w:val="0"/>
              <w:jc w:val="center"/>
              <w:rPr>
                <w:rFonts w:ascii="宋体" w:hAnsi="宋体" w:cs="宋体"/>
                <w:sz w:val="24"/>
                <w:lang w:val="en-GB"/>
              </w:rPr>
            </w:pPr>
          </w:p>
        </w:tc>
        <w:tc>
          <w:tcPr>
            <w:tcW w:w="7451" w:type="dxa"/>
            <w:gridSpan w:val="3"/>
            <w:vAlign w:val="center"/>
          </w:tcPr>
          <w:p>
            <w:pPr>
              <w:tabs>
                <w:tab w:val="left" w:pos="1260"/>
              </w:tabs>
              <w:adjustRightInd w:val="0"/>
              <w:snapToGrid w:val="0"/>
              <w:jc w:val="center"/>
              <w:rPr>
                <w:rFonts w:ascii="宋体" w:hAnsi="宋体" w:cs="宋体"/>
                <w:sz w:val="24"/>
                <w:lang w:val="en-GB"/>
              </w:rPr>
            </w:pPr>
            <w:r>
              <w:rPr>
                <w:rFonts w:hint="eastAsia" w:ascii="宋体" w:hAnsi="宋体" w:cs="宋体"/>
                <w:sz w:val="24"/>
              </w:rPr>
              <w:t>小微企业（含监狱企业、残疾人福利性单位）提供的服务</w:t>
            </w:r>
            <w:r>
              <w:rPr>
                <w:rFonts w:hint="eastAsia" w:ascii="宋体" w:hAnsi="宋体" w:cs="宋体"/>
                <w:sz w:val="24"/>
                <w:lang w:val="en-GB"/>
              </w:rPr>
              <w:t>金额合计</w:t>
            </w:r>
          </w:p>
        </w:tc>
        <w:tc>
          <w:tcPr>
            <w:tcW w:w="1796" w:type="dxa"/>
            <w:vAlign w:val="center"/>
          </w:tcPr>
          <w:p>
            <w:pPr>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56" w:type="dxa"/>
            <w:vMerge w:val="continue"/>
            <w:vAlign w:val="center"/>
          </w:tcPr>
          <w:p>
            <w:pPr>
              <w:tabs>
                <w:tab w:val="left" w:pos="1260"/>
              </w:tabs>
              <w:adjustRightInd w:val="0"/>
              <w:snapToGrid w:val="0"/>
              <w:jc w:val="center"/>
              <w:rPr>
                <w:rFonts w:ascii="宋体" w:hAnsi="宋体" w:cs="宋体"/>
                <w:sz w:val="24"/>
                <w:lang w:val="en-GB"/>
              </w:rPr>
            </w:pPr>
          </w:p>
        </w:tc>
        <w:tc>
          <w:tcPr>
            <w:tcW w:w="7451" w:type="dxa"/>
            <w:gridSpan w:val="3"/>
            <w:vAlign w:val="center"/>
          </w:tcPr>
          <w:p>
            <w:pPr>
              <w:tabs>
                <w:tab w:val="left" w:pos="1260"/>
              </w:tabs>
              <w:adjustRightInd w:val="0"/>
              <w:snapToGrid w:val="0"/>
              <w:jc w:val="center"/>
              <w:rPr>
                <w:rFonts w:ascii="宋体" w:hAnsi="宋体" w:cs="宋体"/>
                <w:sz w:val="24"/>
                <w:lang w:val="en-GB"/>
              </w:rPr>
            </w:pPr>
            <w:r>
              <w:rPr>
                <w:rFonts w:hint="eastAsia" w:ascii="宋体" w:hAnsi="宋体" w:cs="宋体"/>
                <w:sz w:val="24"/>
                <w:lang w:val="en-GB"/>
              </w:rPr>
              <w:t>比重（小微企业（含监狱企业、残疾人福利性单位）提供的服务金额/所投包投标总价）*100%</w:t>
            </w:r>
          </w:p>
        </w:tc>
        <w:tc>
          <w:tcPr>
            <w:tcW w:w="1796" w:type="dxa"/>
            <w:vAlign w:val="center"/>
          </w:tcPr>
          <w:p>
            <w:pPr>
              <w:tabs>
                <w:tab w:val="left" w:pos="1260"/>
              </w:tabs>
              <w:adjustRightInd w:val="0"/>
              <w:snapToGrid w:val="0"/>
              <w:jc w:val="center"/>
              <w:rPr>
                <w:rFonts w:ascii="宋体" w:hAnsi="宋体" w:cs="宋体"/>
                <w:b/>
                <w:sz w:val="24"/>
                <w:lang w:val="en-GB"/>
              </w:rPr>
            </w:pPr>
            <w:r>
              <w:rPr>
                <w:rFonts w:hint="eastAsia" w:ascii="宋体" w:hAnsi="宋体" w:cs="宋体"/>
                <w:b/>
                <w:sz w:val="24"/>
                <w:u w:val="single"/>
                <w:lang w:val="en-GB"/>
              </w:rPr>
              <w:t xml:space="preserve">     </w:t>
            </w:r>
            <w:r>
              <w:rPr>
                <w:rFonts w:hint="eastAsia" w:ascii="宋体" w:hAnsi="宋体" w:cs="宋体"/>
                <w:b/>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Align w:val="center"/>
          </w:tcPr>
          <w:p>
            <w:pPr>
              <w:tabs>
                <w:tab w:val="left" w:pos="1260"/>
              </w:tabs>
              <w:adjustRightInd w:val="0"/>
              <w:snapToGrid w:val="0"/>
              <w:jc w:val="center"/>
              <w:rPr>
                <w:rFonts w:ascii="宋体" w:hAnsi="宋体" w:cs="宋体"/>
                <w:sz w:val="24"/>
                <w:lang w:val="en-GB"/>
              </w:rPr>
            </w:pPr>
            <w:r>
              <w:rPr>
                <w:rFonts w:hint="eastAsia" w:ascii="宋体" w:hAnsi="宋体" w:cs="宋体"/>
                <w:sz w:val="24"/>
                <w:lang w:val="en-GB"/>
              </w:rPr>
              <w:t>中小企业</w:t>
            </w:r>
          </w:p>
        </w:tc>
        <w:tc>
          <w:tcPr>
            <w:tcW w:w="9247" w:type="dxa"/>
            <w:gridSpan w:val="4"/>
            <w:vAlign w:val="center"/>
          </w:tcPr>
          <w:p>
            <w:pPr>
              <w:tabs>
                <w:tab w:val="left" w:pos="1260"/>
              </w:tabs>
              <w:adjustRightInd w:val="0"/>
              <w:snapToGrid w:val="0"/>
              <w:rPr>
                <w:rFonts w:ascii="宋体" w:hAnsi="宋体" w:cs="宋体"/>
                <w:sz w:val="24"/>
              </w:rPr>
            </w:pPr>
            <w:r>
              <w:rPr>
                <w:rFonts w:hint="eastAsia" w:ascii="宋体" w:hAnsi="宋体" w:cs="宋体"/>
                <w:sz w:val="24"/>
              </w:rPr>
              <w:t>如属于中小企业，须提供《中小企业声明函》。</w:t>
            </w:r>
          </w:p>
          <w:p>
            <w:pPr>
              <w:tabs>
                <w:tab w:val="left" w:pos="1260"/>
              </w:tabs>
              <w:adjustRightInd w:val="0"/>
              <w:snapToGrid w:val="0"/>
              <w:rPr>
                <w:rFonts w:ascii="宋体" w:hAnsi="宋体" w:cs="宋体"/>
                <w:sz w:val="24"/>
                <w:lang w:val="en-GB"/>
              </w:rPr>
            </w:pPr>
            <w:r>
              <w:rPr>
                <w:rFonts w:hint="eastAsia" w:ascii="宋体" w:hAnsi="宋体" w:cs="宋体"/>
                <w:sz w:val="24"/>
              </w:rPr>
              <w:t>该声明函见投标文件第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Align w:val="center"/>
          </w:tcPr>
          <w:p>
            <w:pPr>
              <w:tabs>
                <w:tab w:val="left" w:pos="1260"/>
              </w:tabs>
              <w:adjustRightInd w:val="0"/>
              <w:snapToGrid w:val="0"/>
              <w:jc w:val="center"/>
              <w:rPr>
                <w:rFonts w:ascii="宋体" w:hAnsi="宋体" w:cs="宋体"/>
                <w:sz w:val="24"/>
                <w:lang w:val="en-GB"/>
              </w:rPr>
            </w:pPr>
            <w:r>
              <w:rPr>
                <w:rFonts w:hint="eastAsia" w:ascii="宋体" w:hAnsi="宋体" w:cs="宋体"/>
                <w:sz w:val="24"/>
                <w:lang w:val="en-GB"/>
              </w:rPr>
              <w:t>监狱企业</w:t>
            </w:r>
          </w:p>
        </w:tc>
        <w:tc>
          <w:tcPr>
            <w:tcW w:w="9247" w:type="dxa"/>
            <w:gridSpan w:val="4"/>
            <w:vAlign w:val="center"/>
          </w:tcPr>
          <w:p>
            <w:pPr>
              <w:tabs>
                <w:tab w:val="left" w:pos="1260"/>
              </w:tabs>
              <w:adjustRightInd w:val="0"/>
              <w:snapToGrid w:val="0"/>
              <w:rPr>
                <w:rFonts w:ascii="宋体" w:hAnsi="宋体" w:cs="宋体"/>
                <w:sz w:val="24"/>
              </w:rPr>
            </w:pPr>
            <w:r>
              <w:rPr>
                <w:rFonts w:hint="eastAsia" w:ascii="宋体" w:hAnsi="宋体" w:cs="宋体"/>
                <w:sz w:val="24"/>
              </w:rPr>
              <w:t>如属于监狱企业，须提供由省级以上监狱管理局、戒毒管理局(含新疆生产建设兵团)出具的属于监狱企业的证明文件。</w:t>
            </w:r>
          </w:p>
          <w:p>
            <w:pPr>
              <w:tabs>
                <w:tab w:val="left" w:pos="1260"/>
              </w:tabs>
              <w:adjustRightInd w:val="0"/>
              <w:snapToGrid w:val="0"/>
              <w:rPr>
                <w:rFonts w:ascii="宋体" w:hAnsi="宋体" w:cs="宋体"/>
                <w:sz w:val="24"/>
                <w:lang w:val="en-GB"/>
              </w:rPr>
            </w:pPr>
            <w:r>
              <w:rPr>
                <w:rFonts w:hint="eastAsia" w:ascii="宋体" w:hAnsi="宋体" w:cs="宋体"/>
                <w:sz w:val="24"/>
              </w:rPr>
              <w:t>证明材料见投标文件第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Align w:val="center"/>
          </w:tcPr>
          <w:p>
            <w:pPr>
              <w:tabs>
                <w:tab w:val="left" w:pos="1260"/>
              </w:tabs>
              <w:adjustRightInd w:val="0"/>
              <w:snapToGrid w:val="0"/>
              <w:jc w:val="center"/>
              <w:rPr>
                <w:rFonts w:ascii="宋体" w:hAnsi="宋体" w:cs="宋体"/>
                <w:sz w:val="24"/>
                <w:lang w:val="en-GB"/>
              </w:rPr>
            </w:pPr>
            <w:r>
              <w:rPr>
                <w:rFonts w:hint="eastAsia" w:ascii="宋体" w:hAnsi="宋体" w:cs="宋体"/>
                <w:sz w:val="24"/>
                <w:lang w:val="en-GB"/>
              </w:rPr>
              <w:t>残疾人福利性单位</w:t>
            </w:r>
          </w:p>
        </w:tc>
        <w:tc>
          <w:tcPr>
            <w:tcW w:w="9247" w:type="dxa"/>
            <w:gridSpan w:val="4"/>
            <w:vAlign w:val="center"/>
          </w:tcPr>
          <w:p>
            <w:pPr>
              <w:tabs>
                <w:tab w:val="left" w:pos="1260"/>
              </w:tabs>
              <w:adjustRightInd w:val="0"/>
              <w:snapToGrid w:val="0"/>
              <w:rPr>
                <w:rFonts w:ascii="宋体" w:hAnsi="宋体" w:cs="宋体"/>
                <w:sz w:val="24"/>
              </w:rPr>
            </w:pPr>
            <w:r>
              <w:rPr>
                <w:rFonts w:hint="eastAsia" w:ascii="宋体" w:hAnsi="宋体" w:cs="宋体"/>
                <w:sz w:val="24"/>
              </w:rPr>
              <w:t>如属于残疾人福利性单位，须提供《残疾人福利性单位声明函》。</w:t>
            </w:r>
          </w:p>
          <w:p>
            <w:pPr>
              <w:tabs>
                <w:tab w:val="left" w:pos="1260"/>
              </w:tabs>
              <w:adjustRightInd w:val="0"/>
              <w:snapToGrid w:val="0"/>
              <w:rPr>
                <w:rFonts w:ascii="宋体" w:hAnsi="宋体" w:cs="宋体"/>
                <w:sz w:val="24"/>
                <w:lang w:val="en-GB"/>
              </w:rPr>
            </w:pPr>
            <w:r>
              <w:rPr>
                <w:rFonts w:hint="eastAsia" w:ascii="宋体" w:hAnsi="宋体" w:cs="宋体"/>
                <w:sz w:val="24"/>
              </w:rPr>
              <w:t>该声明函见投标文件第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56" w:type="dxa"/>
            <w:vAlign w:val="center"/>
          </w:tcPr>
          <w:p>
            <w:pPr>
              <w:tabs>
                <w:tab w:val="left" w:pos="1260"/>
              </w:tabs>
              <w:adjustRightInd w:val="0"/>
              <w:snapToGrid w:val="0"/>
              <w:jc w:val="center"/>
              <w:rPr>
                <w:rFonts w:ascii="宋体" w:hAnsi="宋体" w:cs="宋体"/>
                <w:sz w:val="24"/>
                <w:lang w:val="en-GB"/>
              </w:rPr>
            </w:pPr>
            <w:r>
              <w:rPr>
                <w:rFonts w:hint="eastAsia" w:ascii="宋体" w:hAnsi="宋体" w:cs="宋体"/>
                <w:sz w:val="24"/>
                <w:lang w:val="en-GB"/>
              </w:rPr>
              <w:t>聘用建档立卡贫困人员企业</w:t>
            </w:r>
          </w:p>
        </w:tc>
        <w:tc>
          <w:tcPr>
            <w:tcW w:w="9247" w:type="dxa"/>
            <w:gridSpan w:val="4"/>
            <w:vAlign w:val="center"/>
          </w:tcPr>
          <w:p>
            <w:pPr>
              <w:tabs>
                <w:tab w:val="left" w:pos="1260"/>
              </w:tabs>
              <w:adjustRightInd w:val="0"/>
              <w:snapToGrid w:val="0"/>
              <w:rPr>
                <w:rFonts w:ascii="宋体" w:hAnsi="宋体" w:cs="宋体"/>
                <w:sz w:val="24"/>
              </w:rPr>
            </w:pPr>
            <w:r>
              <w:rPr>
                <w:rFonts w:hint="eastAsia" w:ascii="宋体" w:hAnsi="宋体" w:cs="宋体"/>
                <w:sz w:val="24"/>
              </w:rPr>
              <w:t>如属于</w:t>
            </w:r>
            <w:r>
              <w:rPr>
                <w:rFonts w:hint="eastAsia" w:ascii="宋体" w:hAnsi="宋体" w:cs="宋体"/>
                <w:sz w:val="24"/>
                <w:lang w:val="en-GB"/>
              </w:rPr>
              <w:t>聘用建档立卡贫困人员企业</w:t>
            </w:r>
            <w:r>
              <w:rPr>
                <w:rFonts w:hint="eastAsia" w:ascii="宋体" w:hAnsi="宋体" w:cs="宋体"/>
                <w:sz w:val="24"/>
              </w:rPr>
              <w:t>，须提供《聘用建档立卡贫困人员企业证明文件》。</w:t>
            </w:r>
          </w:p>
          <w:p>
            <w:pPr>
              <w:tabs>
                <w:tab w:val="left" w:pos="1260"/>
              </w:tabs>
              <w:adjustRightInd w:val="0"/>
              <w:snapToGrid w:val="0"/>
              <w:rPr>
                <w:rFonts w:ascii="宋体" w:hAnsi="宋体" w:cs="宋体"/>
                <w:sz w:val="24"/>
              </w:rPr>
            </w:pPr>
            <w:r>
              <w:rPr>
                <w:rFonts w:hint="eastAsia" w:ascii="宋体" w:hAnsi="宋体" w:cs="宋体"/>
                <w:sz w:val="24"/>
              </w:rPr>
              <w:t>该声明函见投标文件第</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页。</w:t>
            </w:r>
          </w:p>
        </w:tc>
      </w:tr>
    </w:tbl>
    <w:p/>
    <w:p>
      <w:pPr>
        <w:tabs>
          <w:tab w:val="left" w:pos="4860"/>
        </w:tabs>
        <w:spacing w:line="360" w:lineRule="auto"/>
        <w:ind w:right="1560" w:firstLine="504" w:firstLineChars="200"/>
        <w:jc w:val="center"/>
        <w:rPr>
          <w:rFonts w:ascii="宋体" w:hAnsi="宋体" w:cs="宋体"/>
          <w:color w:val="000000"/>
          <w:spacing w:val="6"/>
          <w:sz w:val="24"/>
        </w:rPr>
      </w:pPr>
      <w:r>
        <w:rPr>
          <w:rFonts w:hint="eastAsia" w:ascii="宋体" w:hAnsi="宋体" w:cs="宋体"/>
          <w:color w:val="000000"/>
          <w:spacing w:val="6"/>
          <w:sz w:val="24"/>
        </w:rPr>
        <w:t xml:space="preserve">               单位名称（盖章）：</w:t>
      </w:r>
    </w:p>
    <w:p>
      <w:pPr>
        <w:ind w:firstLine="4788" w:firstLineChars="1900"/>
      </w:pPr>
      <w:r>
        <w:rPr>
          <w:rFonts w:hint="eastAsia" w:ascii="宋体" w:hAnsi="宋体" w:cs="宋体"/>
          <w:color w:val="000000"/>
          <w:spacing w:val="6"/>
          <w:sz w:val="24"/>
        </w:rPr>
        <w:t>日  期：</w:t>
      </w:r>
    </w:p>
    <w:p>
      <w:pPr>
        <w:jc w:val="center"/>
        <w:outlineLvl w:val="0"/>
        <w:rPr>
          <w:rFonts w:ascii="宋体" w:hAnsi="宋体"/>
          <w:sz w:val="36"/>
        </w:rPr>
      </w:pPr>
      <w:r>
        <w:rPr>
          <w:rFonts w:hint="eastAsia" w:ascii="宋体" w:hAnsi="宋体" w:cs="宋体"/>
          <w:bCs/>
          <w:color w:val="000000"/>
          <w:szCs w:val="21"/>
        </w:rPr>
        <w:br w:type="page"/>
      </w:r>
      <w:bookmarkStart w:id="324" w:name="_Toc21083"/>
      <w:r>
        <w:rPr>
          <w:rFonts w:ascii="宋体" w:hAnsi="宋体"/>
          <w:b/>
          <w:bCs/>
          <w:sz w:val="32"/>
        </w:rPr>
        <w:t>第</w:t>
      </w:r>
      <w:bookmarkStart w:id="325" w:name="_Toc7223"/>
      <w:bookmarkStart w:id="326" w:name="_Toc17341"/>
      <w:r>
        <w:rPr>
          <w:rFonts w:ascii="宋体" w:hAnsi="宋体"/>
          <w:b/>
          <w:bCs/>
          <w:sz w:val="32"/>
        </w:rPr>
        <w:t xml:space="preserve">五章  </w:t>
      </w:r>
      <w:r>
        <w:rPr>
          <w:rFonts w:hint="eastAsia" w:ascii="宋体" w:hAnsi="宋体"/>
          <w:b/>
          <w:bCs/>
          <w:sz w:val="32"/>
        </w:rPr>
        <w:t>服</w:t>
      </w:r>
      <w:bookmarkEnd w:id="322"/>
      <w:bookmarkEnd w:id="323"/>
      <w:bookmarkEnd w:id="325"/>
      <w:bookmarkEnd w:id="326"/>
      <w:r>
        <w:rPr>
          <w:rFonts w:hint="eastAsia" w:ascii="宋体" w:hAnsi="宋体"/>
          <w:b/>
          <w:bCs/>
          <w:sz w:val="32"/>
        </w:rPr>
        <w:t>务需求</w:t>
      </w:r>
      <w:bookmarkEnd w:id="324"/>
    </w:p>
    <w:p>
      <w:pPr>
        <w:adjustRightInd w:val="0"/>
        <w:spacing w:line="360" w:lineRule="auto"/>
        <w:rPr>
          <w:rFonts w:ascii="宋体" w:hAnsi="宋体" w:cs="宋体"/>
          <w:b/>
          <w:bCs/>
          <w:color w:val="000000"/>
          <w:sz w:val="24"/>
        </w:rPr>
      </w:pPr>
      <w:r>
        <w:rPr>
          <w:rFonts w:hint="eastAsia" w:ascii="宋体" w:hAnsi="宋体" w:cs="宋体"/>
          <w:b/>
          <w:bCs/>
          <w:color w:val="000000"/>
          <w:sz w:val="24"/>
        </w:rPr>
        <w:t>说</w:t>
      </w:r>
      <w:bookmarkStart w:id="327" w:name="_Toc337822262"/>
      <w:r>
        <w:rPr>
          <w:rFonts w:hint="eastAsia" w:ascii="宋体" w:hAnsi="宋体" w:cs="宋体"/>
          <w:b/>
          <w:bCs/>
          <w:color w:val="000000"/>
          <w:sz w:val="24"/>
        </w:rPr>
        <w:t>明：</w:t>
      </w:r>
    </w:p>
    <w:p>
      <w:pPr>
        <w:spacing w:line="360" w:lineRule="auto"/>
        <w:ind w:firstLine="480" w:firstLineChars="200"/>
        <w:rPr>
          <w:rFonts w:ascii="宋体" w:hAnsi="宋体" w:cs="宋体"/>
          <w:b/>
          <w:color w:val="000000"/>
          <w:sz w:val="24"/>
        </w:rPr>
      </w:pPr>
      <w:r>
        <w:rPr>
          <w:rFonts w:hint="eastAsia" w:ascii="宋体" w:hAnsi="宋体" w:cs="宋体"/>
          <w:b/>
          <w:color w:val="000000"/>
          <w:sz w:val="24"/>
        </w:rPr>
        <w:t>1. 本章中标注★号的部分为实质性要求和条件，供应商必须作出满足或者优于原要求和条件的承诺，否则</w:t>
      </w:r>
      <w:r>
        <w:rPr>
          <w:rFonts w:hint="eastAsia" w:ascii="宋体"/>
          <w:b/>
          <w:bCs/>
          <w:color w:val="000000"/>
          <w:sz w:val="24"/>
        </w:rPr>
        <w:t>不能通过符合性审查</w:t>
      </w:r>
      <w:r>
        <w:rPr>
          <w:rFonts w:hint="eastAsia" w:ascii="宋体" w:hAnsi="宋体" w:cs="宋体"/>
          <w:b/>
          <w:color w:val="000000"/>
          <w:sz w:val="24"/>
        </w:rPr>
        <w:t>。</w:t>
      </w:r>
    </w:p>
    <w:p>
      <w:pPr>
        <w:spacing w:line="360" w:lineRule="auto"/>
        <w:ind w:firstLine="480" w:firstLineChars="200"/>
        <w:rPr>
          <w:rFonts w:ascii="宋体"/>
          <w:b/>
          <w:bCs/>
          <w:color w:val="000000"/>
          <w:sz w:val="24"/>
        </w:rPr>
      </w:pPr>
      <w:r>
        <w:rPr>
          <w:rFonts w:hint="eastAsia" w:ascii="宋体" w:hAnsi="宋体" w:cs="宋体"/>
          <w:b/>
          <w:color w:val="000000"/>
          <w:sz w:val="24"/>
        </w:rPr>
        <w:t>2. 供应商须根据技术要求提供符合采购人需求，与实际情况一致、可操作性强的详细解决方案，无特殊情况不得更改。</w:t>
      </w:r>
    </w:p>
    <w:p>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一、</w:t>
      </w:r>
      <w:r>
        <w:rPr>
          <w:rFonts w:hint="eastAsia" w:asciiTheme="minorEastAsia" w:hAnsiTheme="minorEastAsia" w:eastAsiaTheme="minorEastAsia" w:cstheme="minorEastAsia"/>
          <w:b/>
          <w:bCs/>
          <w:sz w:val="21"/>
          <w:szCs w:val="21"/>
        </w:rPr>
        <w:t>简要概况：</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云南农业职业技术学院茭菱校区位于昆明市五华区茭菱路128号，占地面积为23346.72m2,建筑面积为60583 m2，建筑物共5栋。主要由物业服务企业完成整个校区的综合管理，主要内容包括安保、绿化、保洁、宿舍管理、水电气及零星修缮、电梯、消防管理及维保等工作任务。学院将提供物业办公室1间、工具房1间、厨房1间、8人每间的集体宿舍供值班人员使用（按照学院相关标准收取住宿及水电费）、餐食自理。</w:t>
      </w:r>
    </w:p>
    <w:p>
      <w:pPr>
        <w:pStyle w:val="4"/>
        <w:numPr>
          <w:ilvl w:val="0"/>
          <w:numId w:val="0"/>
        </w:numPr>
        <w:spacing w:before="0" w:after="0" w:line="400" w:lineRule="exact"/>
        <w:jc w:val="left"/>
        <w:rPr>
          <w:rFonts w:hint="eastAsia" w:asciiTheme="minorEastAsia" w:hAnsiTheme="minorEastAsia" w:eastAsiaTheme="minorEastAsia" w:cstheme="minorEastAsia"/>
          <w:bCs w:val="0"/>
          <w:sz w:val="21"/>
          <w:szCs w:val="21"/>
        </w:rPr>
      </w:pPr>
      <w:bookmarkStart w:id="328" w:name="_Toc26904"/>
    </w:p>
    <w:p>
      <w:pPr>
        <w:bidi w:val="0"/>
        <w:rPr>
          <w:rFonts w:hint="eastAsia" w:asciiTheme="minorEastAsia" w:hAnsiTheme="minorEastAsia" w:eastAsiaTheme="minorEastAsia" w:cstheme="minorEastAsia"/>
          <w:b w:val="0"/>
          <w:szCs w:val="21"/>
        </w:rPr>
      </w:pPr>
      <w:r>
        <w:rPr>
          <w:rFonts w:hint="eastAsia"/>
          <w:b/>
          <w:bCs/>
          <w:lang w:eastAsia="zh-CN"/>
        </w:rPr>
        <w:t>二、</w:t>
      </w:r>
      <w:r>
        <w:rPr>
          <w:rFonts w:hint="eastAsia"/>
          <w:b/>
          <w:bCs/>
        </w:rPr>
        <w:t>服务内容：</w:t>
      </w:r>
      <w:bookmarkEnd w:id="328"/>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院内的安全保卫服务、环境卫生保洁服务（主要负责学院园区道路、公共卫生间、各楼宇楼道及过道等，不包含教学楼教室内卫生及教学楼办公室卫生）、绿化日常管理服务、公共设施设备的日常零星维修服务、学生宿舍综合管理服务、地下停车场管理。</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完成茭菱校区60583 平米的综合管理任务，包括安全保卫、绿化面积17000平米、保洁（公共区域面积约22000平米）、公共卫生间18个、学生宿舍190间、电梯14部、化粪池4个、水电气及零星修缮、地下停车场、消防管理及维保等工作任务，详细需求如下：</w:t>
      </w:r>
    </w:p>
    <w:p>
      <w:pPr>
        <w:adjustRightIn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（一）、安全保卫服务管理要求</w:t>
      </w:r>
      <w:r>
        <w:rPr>
          <w:rFonts w:hint="eastAsia" w:asciiTheme="minorEastAsia" w:hAnsiTheme="minorEastAsia" w:eastAsiaTheme="minorEastAsia" w:cstheme="minorEastAsia"/>
          <w:sz w:val="21"/>
          <w:szCs w:val="21"/>
        </w:rPr>
        <w:t>：</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1.物业服务企业对所录用人员要严格审查，保证录用人员没有劳动教养和刑事犯罪记录、健康状况良好、无精神病史、高血压、心脏病等，</w:t>
      </w:r>
      <w:r>
        <w:rPr>
          <w:rFonts w:hint="eastAsia" w:asciiTheme="minorEastAsia" w:hAnsiTheme="minorEastAsia" w:eastAsiaTheme="minorEastAsia" w:cstheme="minorEastAsia"/>
          <w:sz w:val="21"/>
          <w:szCs w:val="21"/>
          <w:lang w:val="en-US" w:eastAsia="zh-CN"/>
        </w:rPr>
        <w:t>由供应商</w:t>
      </w:r>
      <w:r>
        <w:rPr>
          <w:rFonts w:hint="eastAsia" w:asciiTheme="minorEastAsia" w:hAnsiTheme="minorEastAsia" w:eastAsiaTheme="minorEastAsia" w:cstheme="minorEastAsia"/>
          <w:sz w:val="21"/>
          <w:szCs w:val="21"/>
          <w:lang w:eastAsia="zh-CN"/>
        </w:rPr>
        <w:t>提供承诺并加盖公章，</w:t>
      </w:r>
      <w:r>
        <w:rPr>
          <w:rFonts w:hint="eastAsia" w:asciiTheme="minorEastAsia" w:hAnsiTheme="minorEastAsia" w:eastAsiaTheme="minorEastAsia" w:cstheme="minorEastAsia"/>
          <w:sz w:val="21"/>
          <w:szCs w:val="21"/>
        </w:rPr>
        <w:t>持有相应职位的资格上岗证。保安人员须素质良好，无违法犯罪记录，退役军人为优。</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2.所录用人员的学历须全部达到初中毕业及以上(或持有退伍证)，年龄不超过45周岁，必须全部持有《保安员资格证》。</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3.物业服务企业必须严格按照国家、云南省、昆明市有关的劳动法规和保险条例，为员工提供完善的劳动权益保障。</w:t>
      </w:r>
    </w:p>
    <w:p>
      <w:pPr>
        <w:adjustRightInd w:val="0"/>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4.物业服务企业须配备队长1名，学历须达到高中毕业或以上水平。</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5.物业服务企业必须采取切实有效措施保持服务队伍的稳定</w:t>
      </w:r>
      <w:r>
        <w:rPr>
          <w:rFonts w:hint="eastAsia" w:asciiTheme="minorEastAsia" w:hAnsiTheme="minorEastAsia" w:eastAsiaTheme="minorEastAsia" w:cstheme="minorEastAsia"/>
          <w:sz w:val="21"/>
          <w:szCs w:val="21"/>
        </w:rPr>
        <w:t>，严格控制非违纪人员轮换岗比例。保安队长更换，应提前一个月以书面形式通知学院，其他队员更换要提前一周告知物业服务企业，确保服务质量不因人员变动而受影响。</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6.责任范围：</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（1）校区内的公共安全及校内学生活动场所等区域“人防、物防、技防、消防”安全工作管理。</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（2）消防控制室及监控室24小时值班双人持证上岗，对相关情况及时处理和汇报。</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（3）管理消防设施设备，熟练使用消防设备，负责紧急事故初期处置工作。</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（4）做好校园机动车辆和单车停放管理。</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7.校区秩序维护管理要求：</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（1）保安管理负责人负责校园整体安全管理工作，制定校园安全管理计划，定期组织保安队伍训练，汇同项目主管定期向学校保卫处报告工作。</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（2）学校门岗实行24小时双岗制，主要负责门前安全管控、来访人员的管控、出入车辆的管控、外来车辆的指引与管控、学生上下学秩序的维护，物品进出的管控。确保学院大门的安全有序，树立学院风范。</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（3）校园巡逻岗负责校内24小时安全巡查及围墙周边安全的管控，发现问题及时上报并做出应急处理。</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（4）按上级要求每月组织一次保安员进行队列、技能、体能、消防训练和反恐等其他综合演习。</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（5）具有处理突发事件的应急能力，发生紧急情况主动迅速、处置有效并及时报告校方相关部门。</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（6）做好人车秩序管理，做好校内机动车和自行车停放管理。</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（7）熟悉校园情况，完善校区管理制度，积极向负责人提出安全改善建议。</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（8）保安员岗位设置合理，巡逻路线科学，配合技防，做好校园安全防范。</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8.安保人员（持证上岗）：不少于23人，其中监控室不少于6人、老门6人、新门3人（上班期间值守）、农职中心2人、巡逻3人、调休3人，须持消防设施操作员证（原建（构）筑物消防员中级证书）</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sz w:val="21"/>
          <w:szCs w:val="21"/>
        </w:rPr>
        <w:t>大门双人双岗、巡逻岗机动巡查、监控消防控制室按国家规范要求配置人员，所有岗位按三班倒制及24小时值班执行，保障学院财产及师生安全。除正常维护学院秩序外，学院组织大型活动（如迎新、毕业及校内承办的各类活动等），物业服务企业无条件增派足够保安人员，保障大型活动正常有序开展。</w:t>
      </w:r>
    </w:p>
    <w:p>
      <w:pPr>
        <w:adjustRightInd w:val="0"/>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(二)、卫生保洁服务管理要求：</w:t>
      </w:r>
    </w:p>
    <w:p>
      <w:pPr>
        <w:adjustRightInd w:val="0"/>
        <w:spacing w:line="400" w:lineRule="exact"/>
        <w:ind w:firstLine="420"/>
      </w:pPr>
      <w:r>
        <w:rPr>
          <w:rFonts w:hint="eastAsia" w:asciiTheme="minorEastAsia" w:hAnsiTheme="minorEastAsia" w:eastAsiaTheme="minorEastAsia" w:cstheme="minorEastAsia"/>
          <w:sz w:val="21"/>
          <w:szCs w:val="21"/>
        </w:rPr>
        <w:t>1.物业服务企业对所录用人员要严格审查，保证录用人员没有劳动教养和刑事犯罪记录、健康状况良好、无精神病史、高血压、心脏病等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由供应商</w:t>
      </w:r>
      <w:r>
        <w:rPr>
          <w:rFonts w:hint="eastAsia" w:asciiTheme="minorEastAsia" w:hAnsiTheme="minorEastAsia" w:eastAsiaTheme="minorEastAsia" w:cstheme="minorEastAsia"/>
          <w:sz w:val="21"/>
          <w:szCs w:val="21"/>
          <w:lang w:eastAsia="zh-CN"/>
        </w:rPr>
        <w:t>提供承诺并加盖公章。</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2.物业服务企业必须严格按照国家、云南省、昆明市有关的劳动法规和保险条例，为员工提供完善的劳动权益保障。</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3.工作范围：负责校区整体卫生环境及教学楼公共场地如楼梯、走廊、卫生间的清洁，负责行政办公楼、教学楼、外围、道路的室内外清洁。</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4.校园保洁内容及要求：</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（1）办公楼、教学楼等公用部位保持干净整洁。</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（2）公共区域、体育场所等保持干净整洁，每月定期（或大型活动前）对公共区域进行一次清洗。</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（3）公共设备设施如排风扇、灯管、电器开关等表面无灰尘。</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（4）地面、走道、楼梯洁净无积灰、杂物、积水、污渍。</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（5）墙面、天花、门窗无灰尘、无蜘蛛网。</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（6）玻璃门、窗、镜面洁净明亮。</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（7）卫生间洁净无异味、无积水、无污渍、无灰尘，无蜘蛛网。</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（8）室外道路、绿化带等无垃圾、杂物。</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（9）垃圾箱、垃圾桶无异味、无积水。</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（10）天台、雨篷无积水、无垃圾、无青苔、排水畅通。</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（11）每天定时集中清收垃圾并送到垃圾中转站处理。</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（12）协助学校在日常活动中进行布置及杂物搬动。</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（13）雨天做好脚垫铺设和收回。</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（14）按照疫情常态化要求做好公共区域每天不少二次的消毒工作。</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5.清洁所需工具和清洁剂由物业服务企业承担，其中240升的垃圾桶配备不少于60只。</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每年定期对化粪池进行清掏、每年清洗一次玻璃幕墙、垃圾外运等费用由成交供应商承担；垃圾清运每天至少二次，垃圾房做到无垃圾溢出，周边无异味。排污管道及污、雨水井及沙井管道定期进行疏通清理，保证排水畅通，无外溢。沙井内无丢弃物，盖上无污垢。与市政排污接口能正常使用。特别是在雨季来临前，对所有横排、竖排排污管道进行细致的检查疏通一次，确保污水及时排走。如因污水不能排走造成水淹，公司应第一时间派专人到现场指挥处理，想方设法解决问题，不能影响正常的教学秩序。</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7.清洁人员岗位设置合理、定岗定责，岗位清晰，责任明确、熟悉校区清洁区域和责任范围。</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8.物业服务企业对具体的清洁质量标准及频率进行承诺，并作为采购人评标优劣以及检查和监督的依据。</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保洁人员：不少于10人，学院所有校内道路、体育场及公共卫生；所有绿化带区域及休息亭等公共卫生；教学楼的所有楼道过道、所有公共卫生间及大厅；办公楼所有走道楼道及公共卫生间；学生宿舍楼所有过道楼道；B1栋及裙楼所有楼道过道及公共卫生间；所有楼宇楼顶卫生清洁保持；所有楼宇玻璃幕墙的清洗工作。除正常保洁外，学院组织大型活动（如迎新、毕业等），物业服务企业无条件增派足够人员，保障环境卫生清洁。</w:t>
      </w:r>
    </w:p>
    <w:p>
      <w:pPr>
        <w:adjustRightIn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（三）绿化维护日常管理服务要求</w:t>
      </w:r>
      <w:r>
        <w:rPr>
          <w:rFonts w:hint="eastAsia" w:asciiTheme="minorEastAsia" w:hAnsiTheme="minorEastAsia" w:eastAsiaTheme="minorEastAsia" w:cstheme="minorEastAsia"/>
          <w:sz w:val="21"/>
          <w:szCs w:val="21"/>
        </w:rPr>
        <w:t>：</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1.根据校区内不同植物的特点和环境情况做好植物的养护、修剪、造型及植物的病虫害防治：</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（1）绿化带无黄草、枯枝黄叶，杂草率低于5％。</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（2）灌木和草本花木春秋两季重点施肥2～3次，其它时间适当施肥；乔木春秋两季重点施肥1～2次，采用埋施。</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（3）定期对干枯的灌木、草木、花木及时进行清理、修剪、补种，尽量做到无枯死。</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（4）定期修剪绿篱，使植物造型美观，搭配错落有致。</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（5）及时清理乔木的断枝、落叶，适时进行修剪。</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（6）确保所有植物不缺水，雨季不积水。</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（7）做好病虫防治工作，发现病虫害及时处理，按计划对植物进行喷药杀虫。</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（8）当天绿化产生的垃圾、树叶和草屑弃物当天清运干净。</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（9）如植物由于管理不当而枯死，需由物业服务企业补种。</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（10）绿化所需工具、药品、化肥由物业服务企业负责。</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2.绿化维护人员：不少于2人，严格按采购要求对学院内所有绿化进行维护，完成绿化维护保养工作。</w:t>
      </w:r>
    </w:p>
    <w:p>
      <w:pPr>
        <w:adjustRightInd w:val="0"/>
        <w:spacing w:line="400" w:lineRule="exact"/>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（四）零星维修维护服务</w:t>
      </w:r>
      <w:r>
        <w:rPr>
          <w:rFonts w:hint="eastAsia" w:asciiTheme="minorEastAsia" w:hAnsiTheme="minorEastAsia" w:eastAsiaTheme="minorEastAsia" w:cstheme="minorEastAsia"/>
          <w:b/>
          <w:bCs/>
          <w:sz w:val="21"/>
          <w:szCs w:val="21"/>
          <w:lang w:eastAsia="zh-CN"/>
        </w:rPr>
        <w:t>：</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1.范围及人员要求</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工程维修人员及电梯管理人员不少于3人，</w:t>
      </w:r>
      <w:r>
        <w:rPr>
          <w:rFonts w:hint="eastAsia" w:asciiTheme="minorEastAsia" w:hAnsiTheme="minorEastAsia" w:eastAsiaTheme="minorEastAsia" w:cstheme="minorEastAsia"/>
          <w:sz w:val="21"/>
          <w:szCs w:val="21"/>
          <w:lang w:eastAsia="zh-CN"/>
        </w:rPr>
        <w:t>其中</w:t>
      </w:r>
      <w:r>
        <w:rPr>
          <w:rFonts w:hint="eastAsia" w:asciiTheme="minorEastAsia" w:hAnsiTheme="minorEastAsia" w:eastAsiaTheme="minorEastAsia" w:cstheme="minorEastAsia"/>
          <w:sz w:val="21"/>
          <w:szCs w:val="21"/>
          <w:lang w:val="en-US" w:eastAsia="zh-CN"/>
        </w:rPr>
        <w:t>2名</w:t>
      </w:r>
      <w:r>
        <w:rPr>
          <w:rFonts w:hint="eastAsia" w:asciiTheme="minorEastAsia" w:hAnsiTheme="minorEastAsia" w:eastAsiaTheme="minorEastAsia" w:cstheme="minorEastAsia"/>
          <w:sz w:val="21"/>
          <w:szCs w:val="21"/>
        </w:rPr>
        <w:t>必须持有</w:t>
      </w:r>
      <w:r>
        <w:rPr>
          <w:rFonts w:hint="eastAsia" w:asciiTheme="minorEastAsia" w:hAnsiTheme="minorEastAsia" w:eastAsiaTheme="minorEastAsia" w:cstheme="minorEastAsia"/>
          <w:sz w:val="21"/>
          <w:szCs w:val="21"/>
          <w:lang w:eastAsia="zh-CN"/>
        </w:rPr>
        <w:t>中华人民共和国特种作业操作证（低压电工作业证）、另外</w:t>
      </w:r>
      <w:r>
        <w:rPr>
          <w:rFonts w:hint="eastAsia" w:asciiTheme="minorEastAsia" w:hAnsiTheme="minorEastAsia" w:eastAsiaTheme="minorEastAsia" w:cstheme="minorEastAsia"/>
          <w:sz w:val="21"/>
          <w:szCs w:val="21"/>
          <w:lang w:val="en-US" w:eastAsia="zh-CN"/>
        </w:rPr>
        <w:t>1名需持有</w:t>
      </w:r>
      <w:r>
        <w:rPr>
          <w:rFonts w:hint="eastAsia" w:asciiTheme="minorEastAsia" w:hAnsiTheme="minorEastAsia" w:eastAsiaTheme="minorEastAsia" w:cstheme="minorEastAsia"/>
          <w:sz w:val="21"/>
          <w:szCs w:val="21"/>
          <w:lang w:eastAsia="zh-CN"/>
        </w:rPr>
        <w:t>中华人民共和国特种作业人员证（电梯安全管理员）</w:t>
      </w:r>
      <w:r>
        <w:rPr>
          <w:rFonts w:hint="eastAsia" w:asciiTheme="minorEastAsia" w:hAnsiTheme="minorEastAsia" w:eastAsiaTheme="minorEastAsia" w:cstheme="minorEastAsia"/>
          <w:sz w:val="21"/>
          <w:szCs w:val="21"/>
        </w:rPr>
        <w:t>，24小时值班。</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2.内容</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区内各单体建筑物内的单项零星维修材料及工时费在500元以下由成交供应商承担，超过500元的如果在质保期内由施工方进行维修，超过质保期后材料费由学院承担，工时费由成交供应商承担；对所属范围内的设施设备进行巡检保养，并建立检修记录和保养记录。其中：</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供电维护维修：总配电室及二级（低压）配电室定期巡查。各建（构）筑物楼内灯具、开关、插座、电表、空开、抽排风系统、漏电保护器等所有供电设施设备及配件的检修，对各配电室、楼内配电柜进行清扫保养，保证供电良好。</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水维护维修：各建（构）筑屋内的所有供水管线、水龙头、阀门、用水器具等供水设施设备及配件的维修；对建（构）筑物外的供水设备进行巡查，防止跑冒滴漏，发现问题及时上报。每年定期组织对水池进行清洗及水质检测，费用由成交供应商负责。</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排水维护维修：各建（构）筑物楼内各个出水口、所有排水设施，坐便器、蹲坑、手盆、地漏等设施设备及配件和排水管网的维保疏通；地下停车场排水泵正常运转，在雨季来临前进行一次全面检查，保证在雨季期期间全部设备正常使用；以及建（构）筑物外排水管的清淤。对建筑物外排水系统定期进行巡查，发现问题及时处理并上报。</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各建（构）筑物楼内的门配件（如门锁、门把手、胶条、合页、吸门顶、门铰链、闭门器、推拉门滑轮）、窗配件（如窗锁、窗把手、胶条、风撑限位器、窗滑轮）、窗玻璃（学生公寓纱窗除外）。家具（除学生宿舍内家具）柜锁、柜门铰链、家具把手、抽屉导轨及零星小五金等的维修更换。维护维修校园公共区域内宣传栏。</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（5）家具维修：除学生宿舍外，其他各单体建筑物内家具的柜锁、柜门铰链、家具把手、抽屉导轨及零星小五金等的维修更换。维护维修校园公共区域内宣传栏。  </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（6）如遇校内花坛、道路、地面的零星损坏，由成交供应商协助修复。如需更换地砖，面积超过5平方米的，材料由学校提供；5平方米以下的由成交供应商自行承担所有费用。</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（7）校内景观灯的日常检查，出现相关维修、更换需要时，由成交供应商承担。</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（8）消防设施设备等的检测、维保等费用由成交供应商承担。</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（9）14部电梯的日常维护保养，保证电梯使用正常。每年按国家规范要求自行选定维保单位对电梯进行维保及年检，具体费用由成交供应商承担。</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(10)日常零星维修（房屋大修除外）所产生的费用由成交供应商承担。</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3.以下维修项目不包含在此次磋商零星维修项目范围内：</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（1）建筑物单体房顶开裂，墙体出现裂缝、墙面脱落，或改动房屋结构的（如封堵门窗、拆建隔墙等），由学院基建办按基建维修工程相关程序办理。</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（2）建筑物单体外路面凹陷、裂缝、地下水电主管网破损、堵塞等需要进行开挖工程修复的，由学院基建处按基建维修工程相关程序办理。</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（3）大型专项设备实行“谁使用、谁管理、谁负责”的管理办法，按照学院相关程序办理。</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4.零星维修服务要求</w:t>
      </w:r>
    </w:p>
    <w:tbl>
      <w:tblPr>
        <w:tblStyle w:val="32"/>
        <w:tblW w:w="8846" w:type="dxa"/>
        <w:jc w:val="center"/>
        <w:tblLayout w:type="fixed"/>
        <w:tblCellMar>
          <w:top w:w="0" w:type="dxa"/>
          <w:left w:w="28" w:type="dxa"/>
          <w:bottom w:w="0" w:type="dxa"/>
          <w:right w:w="28" w:type="dxa"/>
        </w:tblCellMar>
      </w:tblPr>
      <w:tblGrid>
        <w:gridCol w:w="435"/>
        <w:gridCol w:w="1095"/>
        <w:gridCol w:w="7316"/>
      </w:tblGrid>
      <w:tr>
        <w:tblPrEx>
          <w:tblCellMar>
            <w:top w:w="0" w:type="dxa"/>
            <w:left w:w="28" w:type="dxa"/>
            <w:bottom w:w="0" w:type="dxa"/>
            <w:right w:w="28" w:type="dxa"/>
          </w:tblCellMar>
        </w:tblPrEx>
        <w:trPr>
          <w:trHeight w:val="283" w:hRule="atLeast"/>
          <w:jc w:val="center"/>
        </w:trPr>
        <w:tc>
          <w:tcPr>
            <w:tcW w:w="43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095"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检查项目</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管理要求</w:t>
            </w:r>
          </w:p>
        </w:tc>
      </w:tr>
      <w:tr>
        <w:tblPrEx>
          <w:tblCellMar>
            <w:top w:w="0" w:type="dxa"/>
            <w:left w:w="28" w:type="dxa"/>
            <w:bottom w:w="0" w:type="dxa"/>
            <w:right w:w="28" w:type="dxa"/>
          </w:tblCellMar>
        </w:tblPrEx>
        <w:trPr>
          <w:trHeight w:val="283" w:hRule="atLeast"/>
          <w:jc w:val="center"/>
        </w:trPr>
        <w:tc>
          <w:tcPr>
            <w:tcW w:w="435" w:type="dxa"/>
            <w:vMerge w:val="restart"/>
            <w:tcBorders>
              <w:top w:val="nil"/>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095" w:type="dxa"/>
            <w:vMerge w:val="restart"/>
            <w:tcBorders>
              <w:top w:val="nil"/>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楼外公共照明系统</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1、灯光照明正常</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2、灯具完好</w:t>
            </w:r>
          </w:p>
        </w:tc>
      </w:tr>
      <w:tr>
        <w:tblPrEx>
          <w:tblCellMar>
            <w:top w:w="0" w:type="dxa"/>
            <w:left w:w="28" w:type="dxa"/>
            <w:bottom w:w="0" w:type="dxa"/>
            <w:right w:w="28" w:type="dxa"/>
          </w:tblCellMar>
        </w:tblPrEx>
        <w:trPr>
          <w:trHeight w:val="283" w:hRule="atLeast"/>
          <w:jc w:val="center"/>
        </w:trPr>
        <w:tc>
          <w:tcPr>
            <w:tcW w:w="435" w:type="dxa"/>
            <w:vMerge w:val="restart"/>
            <w:tcBorders>
              <w:top w:val="nil"/>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095" w:type="dxa"/>
            <w:vMerge w:val="restart"/>
            <w:tcBorders>
              <w:top w:val="nil"/>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楼内公共照明系统</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1、灯光照明正常</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2、灯具完好</w:t>
            </w:r>
          </w:p>
        </w:tc>
      </w:tr>
      <w:tr>
        <w:tblPrEx>
          <w:tblCellMar>
            <w:top w:w="0" w:type="dxa"/>
            <w:left w:w="28" w:type="dxa"/>
            <w:bottom w:w="0" w:type="dxa"/>
            <w:right w:w="28" w:type="dxa"/>
          </w:tblCellMar>
        </w:tblPrEx>
        <w:trPr>
          <w:trHeight w:val="283" w:hRule="atLeast"/>
          <w:jc w:val="center"/>
        </w:trPr>
        <w:tc>
          <w:tcPr>
            <w:tcW w:w="435" w:type="dxa"/>
            <w:vMerge w:val="restart"/>
            <w:tcBorders>
              <w:top w:val="nil"/>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095" w:type="dxa"/>
            <w:vMerge w:val="restart"/>
            <w:tcBorders>
              <w:top w:val="nil"/>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室内照明系统</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1、灯光照明正常</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2、灯具完好</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3、室内配电箱、开关完好，开关标识清楚</w:t>
            </w:r>
          </w:p>
        </w:tc>
      </w:tr>
      <w:tr>
        <w:tblPrEx>
          <w:tblCellMar>
            <w:top w:w="0" w:type="dxa"/>
            <w:left w:w="28" w:type="dxa"/>
            <w:bottom w:w="0" w:type="dxa"/>
            <w:right w:w="28" w:type="dxa"/>
          </w:tblCellMar>
        </w:tblPrEx>
        <w:trPr>
          <w:trHeight w:val="283" w:hRule="atLeast"/>
          <w:jc w:val="center"/>
        </w:trPr>
        <w:tc>
          <w:tcPr>
            <w:tcW w:w="435" w:type="dxa"/>
            <w:vMerge w:val="restart"/>
            <w:tcBorders>
              <w:top w:val="nil"/>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095" w:type="dxa"/>
            <w:vMerge w:val="restart"/>
            <w:tcBorders>
              <w:top w:val="nil"/>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供水系统</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1、水表清洗干净，读数正常</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2、水阀门开关自如，没有“跑、冒、滴”现象</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3、有日常检查、维修、保养、维护记录</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4、所有设施完好，满足使用要求</w:t>
            </w:r>
          </w:p>
        </w:tc>
      </w:tr>
      <w:tr>
        <w:tblPrEx>
          <w:tblCellMar>
            <w:top w:w="0" w:type="dxa"/>
            <w:left w:w="28" w:type="dxa"/>
            <w:bottom w:w="0" w:type="dxa"/>
            <w:right w:w="28" w:type="dxa"/>
          </w:tblCellMar>
        </w:tblPrEx>
        <w:trPr>
          <w:trHeight w:val="283" w:hRule="atLeast"/>
          <w:jc w:val="center"/>
        </w:trPr>
        <w:tc>
          <w:tcPr>
            <w:tcW w:w="435" w:type="dxa"/>
            <w:vMerge w:val="restart"/>
            <w:tcBorders>
              <w:top w:val="nil"/>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095" w:type="dxa"/>
            <w:vMerge w:val="restart"/>
            <w:tcBorders>
              <w:top w:val="nil"/>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配电房</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1、设备运转正常，有日常巡视检查、维护记录</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2、室内通风良好，灯光照明正常、灯具完好，按要求上锁</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3、室内卫生整洁，防小动物措施有效</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4、上墙规章制度齐全，设备状态有标识</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5、专用工具摆放齐全，门口警示标识齐全</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6、按规范执行日常值班制度及管理配电房</w:t>
            </w:r>
          </w:p>
        </w:tc>
      </w:tr>
      <w:tr>
        <w:tblPrEx>
          <w:tblCellMar>
            <w:top w:w="0" w:type="dxa"/>
            <w:left w:w="28" w:type="dxa"/>
            <w:bottom w:w="0" w:type="dxa"/>
            <w:right w:w="28" w:type="dxa"/>
          </w:tblCellMar>
        </w:tblPrEx>
        <w:trPr>
          <w:trHeight w:val="283" w:hRule="atLeast"/>
          <w:jc w:val="center"/>
        </w:trPr>
        <w:tc>
          <w:tcPr>
            <w:tcW w:w="435" w:type="dxa"/>
            <w:vMerge w:val="restart"/>
            <w:tcBorders>
              <w:top w:val="nil"/>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095" w:type="dxa"/>
            <w:vMerge w:val="restart"/>
            <w:tcBorders>
              <w:top w:val="nil"/>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楼层、教室、公共区域、配电间</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1、门、门锁使用正常，按要求上锁</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2、室内灯光照明正常，灯具完好</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3、室内整洁，没有堆放杂物</w:t>
            </w:r>
          </w:p>
        </w:tc>
      </w:tr>
      <w:tr>
        <w:tblPrEx>
          <w:tblCellMar>
            <w:top w:w="0" w:type="dxa"/>
            <w:left w:w="28" w:type="dxa"/>
            <w:bottom w:w="0" w:type="dxa"/>
            <w:right w:w="28" w:type="dxa"/>
          </w:tblCellMar>
        </w:tblPrEx>
        <w:trPr>
          <w:trHeight w:val="283" w:hRule="atLeast"/>
          <w:jc w:val="center"/>
        </w:trPr>
        <w:tc>
          <w:tcPr>
            <w:tcW w:w="435" w:type="dxa"/>
            <w:vMerge w:val="continue"/>
            <w:tcBorders>
              <w:top w:val="nil"/>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nil"/>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4、配电箱、开关完好，开关、电表标识清楚，使用正常</w:t>
            </w:r>
          </w:p>
        </w:tc>
      </w:tr>
      <w:tr>
        <w:tblPrEx>
          <w:tblCellMar>
            <w:top w:w="0" w:type="dxa"/>
            <w:left w:w="28" w:type="dxa"/>
            <w:bottom w:w="0" w:type="dxa"/>
            <w:right w:w="28" w:type="dxa"/>
          </w:tblCellMar>
        </w:tblPrEx>
        <w:trPr>
          <w:trHeight w:val="283" w:hRule="atLeast"/>
          <w:jc w:val="center"/>
        </w:trPr>
        <w:tc>
          <w:tcPr>
            <w:tcW w:w="435"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屋顶、楼内、地下排水系统</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1、排水设施设备运行正常、未出现漏水现象</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2、排水设施设备零配件完整（如：脚踏阀、地漏盖等无遗失）</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3、地下停车场排水泵运转正常、控制箱完好</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4、有日常检查、维修、保养、维护记录</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5、各区排水畅通、无阻塞</w:t>
            </w:r>
          </w:p>
        </w:tc>
      </w:tr>
      <w:tr>
        <w:tblPrEx>
          <w:tblCellMar>
            <w:top w:w="0" w:type="dxa"/>
            <w:left w:w="28" w:type="dxa"/>
            <w:bottom w:w="0" w:type="dxa"/>
            <w:right w:w="28" w:type="dxa"/>
          </w:tblCellMar>
        </w:tblPrEx>
        <w:trPr>
          <w:trHeight w:val="283" w:hRule="atLeast"/>
          <w:jc w:val="center"/>
        </w:trPr>
        <w:tc>
          <w:tcPr>
            <w:tcW w:w="435"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095" w:type="dxa"/>
            <w:vMerge w:val="restart"/>
            <w:tcBorders>
              <w:top w:val="single" w:color="auto" w:sz="4" w:space="0"/>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排风机等其它机电设备</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1、设备运转正常</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2、有日常检查、维修、保养、维护记录</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3、表面无严重锈蚀现象</w:t>
            </w:r>
          </w:p>
        </w:tc>
      </w:tr>
      <w:tr>
        <w:tblPrEx>
          <w:tblCellMar>
            <w:top w:w="0" w:type="dxa"/>
            <w:left w:w="28" w:type="dxa"/>
            <w:bottom w:w="0" w:type="dxa"/>
            <w:right w:w="28" w:type="dxa"/>
          </w:tblCellMar>
        </w:tblPrEx>
        <w:trPr>
          <w:trHeight w:val="283" w:hRule="atLeast"/>
          <w:jc w:val="center"/>
        </w:trPr>
        <w:tc>
          <w:tcPr>
            <w:tcW w:w="435"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095" w:type="dxa"/>
            <w:vMerge w:val="restart"/>
            <w:tcBorders>
              <w:top w:val="single" w:color="auto" w:sz="4" w:space="0"/>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日常维修工作</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1、报修方便、快捷</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2、维修及时、质量好</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3、报修、维修过程均有书面记录，维修结果有报修人签名确认</w:t>
            </w:r>
          </w:p>
        </w:tc>
      </w:tr>
      <w:tr>
        <w:tblPrEx>
          <w:tblCellMar>
            <w:top w:w="0" w:type="dxa"/>
            <w:left w:w="28" w:type="dxa"/>
            <w:bottom w:w="0" w:type="dxa"/>
            <w:right w:w="28" w:type="dxa"/>
          </w:tblCellMar>
        </w:tblPrEx>
        <w:trPr>
          <w:trHeight w:val="283" w:hRule="atLeast"/>
          <w:jc w:val="center"/>
        </w:trPr>
        <w:tc>
          <w:tcPr>
            <w:tcW w:w="435"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095" w:type="dxa"/>
            <w:vMerge w:val="restart"/>
            <w:tcBorders>
              <w:top w:val="single" w:color="auto" w:sz="4" w:space="0"/>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规范管理</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1、实际投入技术人员满足合同要求（人数、资质、实际操作能力）。</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2、维修人员需统一服装，挂牌上岗</w:t>
            </w:r>
          </w:p>
        </w:tc>
      </w:tr>
      <w:tr>
        <w:tblPrEx>
          <w:tblCellMar>
            <w:top w:w="0" w:type="dxa"/>
            <w:left w:w="28" w:type="dxa"/>
            <w:bottom w:w="0" w:type="dxa"/>
            <w:right w:w="28" w:type="dxa"/>
          </w:tblCellMar>
        </w:tblPrEx>
        <w:trPr>
          <w:trHeight w:val="283"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1095" w:type="dxa"/>
            <w:vMerge w:val="continue"/>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3、工作有计划，有预见性及针对性措施；有效应急预案</w:t>
            </w:r>
          </w:p>
        </w:tc>
      </w:tr>
      <w:tr>
        <w:tblPrEx>
          <w:tblCellMar>
            <w:top w:w="0" w:type="dxa"/>
            <w:left w:w="28" w:type="dxa"/>
            <w:bottom w:w="0" w:type="dxa"/>
            <w:right w:w="28" w:type="dxa"/>
          </w:tblCellMar>
        </w:tblPrEx>
        <w:trPr>
          <w:trHeight w:val="283" w:hRule="atLeast"/>
          <w:jc w:val="center"/>
        </w:trPr>
        <w:tc>
          <w:tcPr>
            <w:tcW w:w="43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1095"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节能管理</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ind w:firstLine="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按学校要求做好节能减排工作，没有浪费现象</w:t>
            </w:r>
          </w:p>
        </w:tc>
      </w:tr>
      <w:tr>
        <w:tblPrEx>
          <w:tblCellMar>
            <w:top w:w="0" w:type="dxa"/>
            <w:left w:w="28" w:type="dxa"/>
            <w:bottom w:w="0" w:type="dxa"/>
            <w:right w:w="28" w:type="dxa"/>
          </w:tblCellMar>
        </w:tblPrEx>
        <w:trPr>
          <w:trHeight w:val="283" w:hRule="atLeast"/>
          <w:jc w:val="center"/>
        </w:trPr>
        <w:tc>
          <w:tcPr>
            <w:tcW w:w="43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1095"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报修受理</w:t>
            </w:r>
          </w:p>
        </w:tc>
        <w:tc>
          <w:tcPr>
            <w:tcW w:w="7316" w:type="dxa"/>
            <w:tcBorders>
              <w:top w:val="single" w:color="auto" w:sz="4" w:space="0"/>
              <w:left w:val="nil"/>
              <w:bottom w:val="single" w:color="auto" w:sz="4" w:space="0"/>
              <w:right w:val="single" w:color="auto" w:sz="4" w:space="0"/>
            </w:tcBorders>
            <w:vAlign w:val="center"/>
          </w:tcPr>
          <w:p>
            <w:pPr>
              <w:adjustRightInd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接到报修后20分钟内到达现场，紧急维修10分钟到现场。一般维修当天完成，复杂维修2天内完成，维修情况形成维修记录。</w:t>
            </w:r>
          </w:p>
        </w:tc>
      </w:tr>
    </w:tbl>
    <w:p>
      <w:pPr>
        <w:adjustRightInd w:val="0"/>
        <w:spacing w:line="400" w:lineRule="exact"/>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（五）学生宿舍管理服务</w:t>
      </w:r>
      <w:r>
        <w:rPr>
          <w:rFonts w:hint="eastAsia" w:asciiTheme="minorEastAsia" w:hAnsiTheme="minorEastAsia" w:eastAsiaTheme="minorEastAsia" w:cstheme="minorEastAsia"/>
          <w:b/>
          <w:bCs/>
          <w:sz w:val="21"/>
          <w:szCs w:val="21"/>
          <w:lang w:eastAsia="zh-CN"/>
        </w:rPr>
        <w:t>：</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1.加强校内宿舍管理，按学院要求足额配备管理1400名学生（190间）宿舍的管理人员，并遵守学院其他有关规章制度所涉及的要求。</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2.制定学生宿舍突发事故处置应急预案，妥善处理学生宿舍突发性事件。</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3.平时负责宿舍楼道、楼梯、阳台的卫生，做到地面无痕迹，墙面无脏物，扶手及各个角落干净无灰尘。</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4.每天上午、下午、晚上进入宿舍巡查三次以上，重点检查门锁、水电、消防设施和滞留学生，并登记检查结果；对宿舍内存放的违禁物及时收缴并告知学生。</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5.发现门未锁及时锁上，发现滞留学生要当面问清楚滞留原因，如学生生病，要及时送外就医，并通知学院主管部门及二级学院。</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6.发现其他异常情况，要及时报告学院领导。</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7.除学生家长外，校外人员不得进入宿舍，晚间严禁留校外人员或非住宿生,严禁男女生互串宿舍。</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8.晚上做好晚归、不归学生的登记工作。</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9.负责按照学院规定的作息时间开、锁宿舍大门及开关电源，不得延误或提前。</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10.督促学生关锁门窗，留意各种可疑现象，积极做好防火、防盗等安全工作。</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11.负责管理公寓楼内乱接、乱钉、乱贴、乱摆、乱放、乱倒、偷电等违纪行为，及时发现、制止并上报。</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12.负责检查安全通道、消防器材、门窗、管道及各水阀、水龙头等，及时发现问题、解决问题，并做好相关登记统计工作。</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13.宿舍管理人员在工作过程中，应爱护学院公共设施设备，故意损坏应进行赔偿处理。</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14.按零星维修服务要求，对宿舍进行管理。</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学生宿舍管理员：不少于9人（每班3人，按三班倒制），学生宿舍楼为男女生共住单体楼宇，数量为1400名学生（190间）宿舍的管理人员，人数的配置必须满足现有量的正常管理需求。岗位设置为宿舍一楼大厅电梯间、男生宿舍区域、女生宿舍区域等三个区域要求24小时有人值守。</w:t>
      </w:r>
    </w:p>
    <w:p>
      <w:pPr>
        <w:adjustRightInd w:val="0"/>
        <w:spacing w:line="4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（六）服务要求：</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1.物业服务企业在学院设立独立办公室,配备项目经理对学院物业进行综合管理，办公室配备客服专员，整理收集资料，建立物业相关档案及24小时接听客服热线，有效处理学院师生的咨询或投诉相关事宜。</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2.物业服务企业须配合学院保卫处及属地派出所要求，对所有从业人员进行三提取工作，包括身份信息、相片、指纹信息。</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3.物业服务企业必须保证派驻学校保安保洁人员的稳定性。</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4.物业服务企业不得转包或分包项目内容。</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5.未经学院同意，物业服务企业不得对校内的设施及布置作业变更。</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6.物业服务企业现场服务的管理构架必须完整，管理构架必须胜任学校日常管理需要。</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7.物业服务企业未按规定人数配齐保安保洁人员或当班人数少于约定的人数，经学院提出不改的，视为一次有效投诉。 </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8.由于物业服务企业原因未给员工购买社保的，自通知整改之日起一个月内物业服务企业必须为员工购买社保，否则视为一次有效投诉。</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9.物业服务企业在做好本职工作的同时，有责任向学校提供合理化建议，以提高管理效率和管理质量。</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10.物业服务企业应具备利用自身资源满足临时应急抽调（平均每月不超过1次）含保洁等人员一次性不少于10人的调遣能力。</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11.物业服务企业要统筹安排全体保安员工无条件配合学院处理各种突发事件和做好临时安排工作。配合学校完成一些卫生保洁工作，特别是进行大型活动的时候。</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12.物业服务企业使用的工具、器材、消耗品等相关用品必须符合国家相关安全标准，须在指定地点整齐摆放。</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13.禁止在学院内存放违禁品。</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14.物业服务企业必须按合同的服务需求与学院签订合同。物业服务企业违反合同规定的事项，学院进行书面有效投诉，视作物业服务企业违约。学院有权向物业服务企业主张违约金，违约金在合同款额中扣除。</w:t>
      </w:r>
    </w:p>
    <w:p>
      <w:pPr>
        <w:pStyle w:val="4"/>
        <w:numPr>
          <w:ilvl w:val="0"/>
          <w:numId w:val="0"/>
        </w:numPr>
        <w:spacing w:before="0" w:after="0" w:line="400" w:lineRule="exact"/>
        <w:jc w:val="left"/>
        <w:rPr>
          <w:rFonts w:hint="eastAsia" w:asciiTheme="minorEastAsia" w:hAnsiTheme="minorEastAsia" w:eastAsiaTheme="minorEastAsia" w:cstheme="minorEastAsia"/>
          <w:sz w:val="21"/>
          <w:szCs w:val="21"/>
        </w:rPr>
      </w:pPr>
      <w:bookmarkStart w:id="329" w:name="_Toc11508"/>
      <w:bookmarkStart w:id="330" w:name="_Toc26326"/>
      <w:r>
        <w:rPr>
          <w:rFonts w:hint="eastAsia" w:asciiTheme="minorEastAsia" w:hAnsiTheme="minorEastAsia" w:eastAsiaTheme="minorEastAsia" w:cstheme="minorEastAsia"/>
          <w:sz w:val="21"/>
          <w:szCs w:val="21"/>
        </w:rPr>
        <w:t>功能需求：</w:t>
      </w:r>
      <w:bookmarkEnd w:id="329"/>
      <w:bookmarkEnd w:id="330"/>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严格按采购需求满足相关质量，安全技术规格执行。</w:t>
      </w:r>
    </w:p>
    <w:p>
      <w:pPr>
        <w:adjustRightInd w:val="0"/>
        <w:spacing w:line="400" w:lineRule="exact"/>
        <w:outlineLvl w:val="1"/>
        <w:rPr>
          <w:rFonts w:hint="eastAsia" w:asciiTheme="minorEastAsia" w:hAnsiTheme="minorEastAsia" w:eastAsiaTheme="minorEastAsia" w:cstheme="minorEastAsia"/>
          <w:sz w:val="21"/>
          <w:szCs w:val="21"/>
        </w:rPr>
      </w:pPr>
      <w:bookmarkStart w:id="331" w:name="_Toc18932"/>
      <w:bookmarkStart w:id="332" w:name="_Toc13392"/>
      <w:r>
        <w:rPr>
          <w:rFonts w:hint="eastAsia" w:asciiTheme="minorEastAsia" w:hAnsiTheme="minorEastAsia" w:eastAsiaTheme="minorEastAsia" w:cstheme="minorEastAsia"/>
          <w:b/>
          <w:bCs/>
          <w:sz w:val="21"/>
          <w:szCs w:val="21"/>
        </w:rPr>
        <w:t>人员组成：</w:t>
      </w:r>
      <w:bookmarkEnd w:id="331"/>
      <w:bookmarkEnd w:id="332"/>
    </w:p>
    <w:p>
      <w:pPr>
        <w:adjustRightInd w:val="0"/>
        <w:spacing w:line="400" w:lineRule="exact"/>
        <w:ind w:left="6" w:leftChars="3"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物业办公室人员：物业服务处主任1人、客服2人（学历需专科以上，要求24小时接听学院师生投诉或</w:t>
      </w:r>
      <w:r>
        <w:rPr>
          <w:rFonts w:hint="eastAsia" w:asciiTheme="minorEastAsia" w:hAnsiTheme="minorEastAsia" w:eastAsiaTheme="minorEastAsia" w:cstheme="minorEastAsia"/>
          <w:color w:val="auto"/>
          <w:sz w:val="21"/>
          <w:szCs w:val="21"/>
        </w:rPr>
        <w:t>咨询）、材料整理1人</w:t>
      </w:r>
      <w:r>
        <w:rPr>
          <w:rFonts w:hint="eastAsia" w:asciiTheme="minorEastAsia" w:hAnsiTheme="minorEastAsia" w:eastAsiaTheme="minorEastAsia" w:cstheme="minorEastAsia"/>
          <w:color w:val="auto"/>
          <w:sz w:val="21"/>
          <w:szCs w:val="21"/>
          <w:lang w:eastAsia="zh-CN"/>
        </w:rPr>
        <w:t>。</w:t>
      </w:r>
    </w:p>
    <w:p>
      <w:pPr>
        <w:adjustRightInd w:val="0"/>
        <w:spacing w:line="40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保人员（持证上岗）：安保人员（持证上岗）：不少于23人，其中监控室及消防控制室不少于6人(持有消防设施操作员证)、老门6人、新门3人（上班期间值守）、农职中心2人、巡逻3人、调休3人，。大门双人双岗、巡逻岗机动巡查、监控消防控制室按国家规范要求配置人员，所有岗位按三班倒制及24小时值班执行，保障学院财产及师生安全。除正常维护学院秩序外，学院组织大型活动（如迎新、毕业及校内承办的各类活动等），物业服务企业无条件增派足够保安人员，保障大型活动正常有序开展。</w:t>
      </w:r>
    </w:p>
    <w:p>
      <w:pPr>
        <w:adjustRightInd w:val="0"/>
        <w:spacing w:line="400" w:lineRule="exact"/>
        <w:ind w:left="6" w:lef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人员：不少于10人，学院所有校内道路及体育场公共卫生；所有绿化带区域及休息亭等公共卫生；教学楼的所有楼道过道、所有公共卫生间及大厅；办公楼所有走道楼道及公共卫生间；学生宿舍楼所有过道楼道；B1栋及裙楼所有楼道过道及公共卫生间；所有楼宇楼顶卫生清洁保持；所有楼宇玻璃幕墙的清洗工作；地下车库负一层、负二层的卫生保洁。除正常保洁外，学院组织大型活动（如迎新、迎检等），物业服务企业无条件增派足够人员，保障环境卫生清洁。</w:t>
      </w:r>
    </w:p>
    <w:p>
      <w:pPr>
        <w:adjustRightInd w:val="0"/>
        <w:spacing w:line="400" w:lineRule="exact"/>
        <w:ind w:left="6" w:lef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生宿舍管理员：不少于9人（每班3人，按三班倒制），学生宿舍楼为男女生共住单体楼宇，人数的配置必须满足190间宿舍的正常管理需求。岗位设置为宿舍一楼大厅电梯间、男生宿舍区域、女生宿舍区域等三个区域要求24小时有人值守。</w:t>
      </w:r>
    </w:p>
    <w:p>
      <w:pPr>
        <w:adjustRightInd w:val="0"/>
        <w:spacing w:line="400" w:lineRule="exact"/>
        <w:ind w:left="6" w:lef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工程维修人员：不少于3人（白班不少于2人、晚班1人），必须持有水电气、电梯、消防等从业资格证书，24小时值班。</w:t>
      </w:r>
    </w:p>
    <w:p>
      <w:pPr>
        <w:adjustRightInd w:val="0"/>
        <w:spacing w:line="400" w:lineRule="exact"/>
        <w:ind w:left="6" w:leftChars="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绿化维护人员：不少于2人，严格按采购要求对学院内所有绿化进行维护，完成绿化维护保养工作。</w:t>
      </w:r>
    </w:p>
    <w:p>
      <w:pPr>
        <w:adjustRightInd w:val="0"/>
        <w:spacing w:line="400" w:lineRule="exact"/>
        <w:outlineLvl w:val="1"/>
        <w:rPr>
          <w:rFonts w:hint="eastAsia" w:asciiTheme="minorEastAsia" w:hAnsiTheme="minorEastAsia" w:eastAsiaTheme="minorEastAsia" w:cstheme="minorEastAsia"/>
          <w:sz w:val="21"/>
          <w:szCs w:val="21"/>
        </w:rPr>
      </w:pPr>
      <w:bookmarkStart w:id="333" w:name="_Toc31086"/>
      <w:bookmarkStart w:id="334" w:name="_Toc1876"/>
      <w:r>
        <w:rPr>
          <w:rFonts w:hint="eastAsia" w:asciiTheme="minorEastAsia" w:hAnsiTheme="minorEastAsia" w:eastAsiaTheme="minorEastAsia" w:cstheme="minorEastAsia"/>
          <w:b/>
          <w:bCs/>
          <w:sz w:val="21"/>
          <w:szCs w:val="21"/>
        </w:rPr>
        <w:t>服务质量要求：</w:t>
      </w:r>
      <w:bookmarkEnd w:id="333"/>
      <w:bookmarkEnd w:id="334"/>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根据茭菱校区物业服务考核评分标准及相关要求，需达到以下服务质量：</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在学校物业管理服务过程中，将严格依照国家建设部制定的物业管理创优考评的各项标准开展工作，使物业各项使用功能正常，使物业各项工作有条不紊的开展，为广大师生提供舒适、安全、宁静的学习、生活环境。</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（1）消防管理：严格遵守有关消防管理，年检完好率100%，确保无责任性消防事故。</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（2）安全防范：管理范围内治安案件发生率为零，无任何管理责任性事故发生。</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（3）保洁、环境卫生满意率在95%以上；环境卫生、消杀达标率为98%以上。</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（4）房屋及公共配套设施报修及时率100%以上。</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（5）除因基建质量、设备质量在保养期内等特殊原因外，楼内及配套设施、机电设施设备、电梯设备完好率95%以上。</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（6）管理服务人员持有相应的上岗证、资格证，专业培训合格率达100%。</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（7）管理服务工作服从学校的管理监督和指导，积极配合学校各部门开展各项工作。</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（8）客户对物业管理服务满意率在90%以上。</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（9）有效投诉率低于0.5%，有效投诉处理率达100%。</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（10）完成绿化维护日常管理服务内容的95%以上。</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（11）100%的完成学生宿舍管理服务要求的相关任务。</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2.严格遵守国家的法律、法规、条例以及政府部门的各项管理规定。科学、规范管理，全面引入和推行ISO质量管理体系，服务热情、周到，建立现代化、人性化管理服务体系。</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3.建立严格、规范的消防、公共秩序应急体系，确保物业管理工作万无一失。</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4.严格认真推行并实施人性化服务，达到细致、周到、真诚、规范的服务要求，定期发放物业管理服务满意度调查表，对合理的建议及时整改，努力提高广大师生的满意度。</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5.建立服务人员与学校师生的沟通机制，推行亲情服务。</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6.进一步规范和完善24小时值班制度，公示公司的24小时服务电话。</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7.提高优质环境保障，加大清洁管理力度。确保学校卫生状况良好，垃圾日产日清，定期进行消杀，使学校保持洁净、舒适。</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8.进一步完善各项管理制度、完善物业档案建设、各岗位工作标准，建立严格的考核方法，充分调动员工的工作积极性和主观能动性。进一步加强员工的服务意识和责任心。</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9.制定完善系统的培训计划，切实提高员工队伍的整体素质，确保持证上岗率达100%。</w:t>
      </w:r>
    </w:p>
    <w:p>
      <w:pPr>
        <w:bidi w:val="0"/>
        <w:rPr>
          <w:rFonts w:hint="eastAsia"/>
          <w:lang w:val="en-US" w:eastAsia="zh-CN"/>
        </w:rPr>
      </w:pPr>
      <w:r>
        <w:rPr>
          <w:rFonts w:hint="eastAsia"/>
        </w:rPr>
        <w:t xml:space="preserve">  </w:t>
      </w:r>
      <w:r>
        <w:rPr>
          <w:rFonts w:hint="eastAsia"/>
          <w:lang w:val="en-US" w:eastAsia="zh-CN"/>
        </w:rPr>
        <w:t xml:space="preserve">  10.成交供应商每个季度结束必须将服务及管理的各种登记记录表交采购人存档；因服务不到位或管理不到位受到行政部门的整改、处罚等，除了扣除相应考核分外，成交供应商需承但对相应的损失、罚款及法律责任。</w:t>
      </w:r>
    </w:p>
    <w:p>
      <w:pPr>
        <w:adjustRightInd w:val="0"/>
        <w:spacing w:line="400" w:lineRule="exact"/>
        <w:outlineLvl w:val="1"/>
        <w:rPr>
          <w:rFonts w:hint="eastAsia" w:asciiTheme="minorEastAsia" w:hAnsiTheme="minorEastAsia" w:eastAsiaTheme="minorEastAsia" w:cstheme="minorEastAsia"/>
          <w:b/>
          <w:bCs/>
          <w:sz w:val="21"/>
          <w:szCs w:val="21"/>
        </w:rPr>
      </w:pPr>
      <w:bookmarkStart w:id="335" w:name="_Toc22276"/>
      <w:bookmarkStart w:id="336" w:name="_Toc1884"/>
      <w:r>
        <w:rPr>
          <w:rFonts w:hint="eastAsia" w:asciiTheme="minorEastAsia" w:hAnsiTheme="minorEastAsia" w:eastAsiaTheme="minorEastAsia" w:cstheme="minorEastAsia"/>
          <w:b/>
          <w:bCs/>
          <w:sz w:val="21"/>
          <w:szCs w:val="21"/>
        </w:rPr>
        <w:t>项目验收要求：</w:t>
      </w:r>
      <w:bookmarkEnd w:id="335"/>
      <w:bookmarkEnd w:id="336"/>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按照国家相关规定及满足学校相关要求验收,学校年终综合考核分达到良好以上通过验收。</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考核制度及等级。年终考核评分=学校综合考核组（院办、财务、纪检、后勤、保卫负责人组成，由分管领导审核）评分×40%＋使用部门考核评分×60%（每季度考核一次，每季度占15%）。考核等级：综合得分≥90分为优质；85-90分为良好； 80-85分为合格;80分以下为不合格。</w:t>
      </w:r>
    </w:p>
    <w:p>
      <w:pPr>
        <w:adjustRightInd w:val="0"/>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2.考核项及评分标准</w:t>
      </w:r>
    </w:p>
    <w:p>
      <w:pPr>
        <w:adjustRightInd w:val="0"/>
        <w:spacing w:line="400" w:lineRule="exact"/>
        <w:ind w:firstLine="420" w:firstLineChars="200"/>
        <w:rPr>
          <w:rFonts w:hint="eastAsia" w:asciiTheme="minorEastAsia" w:hAnsiTheme="minorEastAsia" w:eastAsiaTheme="minorEastAsia" w:cstheme="minorEastAsia"/>
          <w:sz w:val="21"/>
          <w:szCs w:val="21"/>
        </w:rPr>
      </w:pPr>
    </w:p>
    <w:p>
      <w:pPr>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茭菱校区物业服务考核评分标准</w:t>
      </w:r>
    </w:p>
    <w:tbl>
      <w:tblPr>
        <w:tblStyle w:val="32"/>
        <w:tblW w:w="8591" w:type="dxa"/>
        <w:jc w:val="center"/>
        <w:tblLayout w:type="fixed"/>
        <w:tblCellMar>
          <w:top w:w="0" w:type="dxa"/>
          <w:left w:w="108" w:type="dxa"/>
          <w:bottom w:w="0" w:type="dxa"/>
          <w:right w:w="108" w:type="dxa"/>
        </w:tblCellMar>
      </w:tblPr>
      <w:tblGrid>
        <w:gridCol w:w="1064"/>
        <w:gridCol w:w="6255"/>
        <w:gridCol w:w="636"/>
        <w:gridCol w:w="636"/>
      </w:tblGrid>
      <w:tr>
        <w:tblPrEx>
          <w:tblCellMar>
            <w:top w:w="0" w:type="dxa"/>
            <w:left w:w="108" w:type="dxa"/>
            <w:bottom w:w="0" w:type="dxa"/>
            <w:right w:w="108" w:type="dxa"/>
          </w:tblCellMar>
        </w:tblPrEx>
        <w:trPr>
          <w:trHeight w:val="480"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内容</w:t>
            </w:r>
          </w:p>
        </w:tc>
        <w:tc>
          <w:tcPr>
            <w:tcW w:w="62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分项指标</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分值</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评分</w:t>
            </w:r>
          </w:p>
        </w:tc>
      </w:tr>
      <w:tr>
        <w:tblPrEx>
          <w:tblCellMar>
            <w:top w:w="0" w:type="dxa"/>
            <w:left w:w="108" w:type="dxa"/>
            <w:bottom w:w="0" w:type="dxa"/>
            <w:right w:w="108" w:type="dxa"/>
          </w:tblCellMar>
        </w:tblPrEx>
        <w:trPr>
          <w:trHeight w:val="240" w:hRule="atLeast"/>
          <w:jc w:val="center"/>
        </w:trPr>
        <w:tc>
          <w:tcPr>
            <w:tcW w:w="1064"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基本要求（10分）</w:t>
            </w:r>
          </w:p>
        </w:tc>
        <w:tc>
          <w:tcPr>
            <w:tcW w:w="6255" w:type="dxa"/>
            <w:tcBorders>
              <w:top w:val="nil"/>
              <w:left w:val="nil"/>
              <w:bottom w:val="single" w:color="auto" w:sz="4" w:space="0"/>
              <w:right w:val="single" w:color="auto" w:sz="4" w:space="0"/>
            </w:tcBorders>
          </w:tcPr>
          <w:p>
            <w:pPr>
              <w:pStyle w:val="10"/>
              <w:spacing w:line="40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1、管理人员60%以上持有物业管理上岗证书，特种作业人员100%持有专业部门颁发的有效证书上岗。管理人员服装统一，挂牌上岗，仪表整洁规范。未持有证书或证书失效的，保安等管理人员着装不整齐、仪表不整洁的，第一次警告、提出整改意见，如果再犯扣1分/人次。</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9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tcPr>
          <w:p>
            <w:pPr>
              <w:spacing w:line="40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2、办公区（管理房）整洁，物业管理档案齐全。</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95"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single" w:color="auto" w:sz="4" w:space="0"/>
              <w:left w:val="nil"/>
              <w:bottom w:val="single" w:color="auto" w:sz="4" w:space="0"/>
              <w:right w:val="single" w:color="auto" w:sz="4" w:space="0"/>
            </w:tcBorders>
          </w:tcPr>
          <w:p>
            <w:pPr>
              <w:spacing w:line="40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pacing w:val="-4"/>
                <w:sz w:val="21"/>
                <w:szCs w:val="21"/>
              </w:rPr>
              <w:t>公布服务电话及服务时限，及时受理投诉、报修及求助，并做好记录。否则扣1分/次。</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190" w:hRule="atLeast"/>
          <w:jc w:val="center"/>
        </w:trPr>
        <w:tc>
          <w:tcPr>
            <w:tcW w:w="1064" w:type="dxa"/>
            <w:vMerge w:val="restart"/>
            <w:tcBorders>
              <w:top w:val="single" w:color="auto" w:sz="4" w:space="0"/>
              <w:left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安全管理（30分）</w:t>
            </w:r>
          </w:p>
        </w:tc>
        <w:tc>
          <w:tcPr>
            <w:tcW w:w="6255" w:type="dxa"/>
            <w:tcBorders>
              <w:top w:val="single" w:color="auto" w:sz="4" w:space="0"/>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1、保安及消防控制室值班人员必须100%持证上岗。</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6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2、严格执行外来人员会客登记制度；严格执行外来车辆管理制度；</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3、熟练掌握消防应急预案内容及操作流程，每月对员工进行安全知识及技能培训、演练一次，并有档案记录；</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4、制定相对固定的巡视路线，严格执行巡查制度，按时巡查，不少巡漏巡，做好巡查签到和巡查记录并存档；</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5、消防设施、设备每月检查一次，记录完整；发现缺失、过期、随意挪动、损坏等情况及时上报并存档、定期维保。对电梯进行定期检测维保；</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6、门岗人员按项目规定时间实行站岗服务，高峰时段项目负责人到场协助监管；</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7、确保安全通道门顺畅打开，消防通道内无杂物堆放，做到每天至少检查一次并有记录；</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8、平台及顶楼安全每天检查一次，确保下水管畅通、无杂物，并记录存档；</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9、防爆器械、应急钥匙摆放在明显位置并能马上拿到；并成立应急处置队，处理突发事件；</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single" w:color="auto" w:sz="4" w:space="0"/>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可视对讲系统、闭路监控系统等智能化设施设备运行正常，如有异常及时上报，并做好记录存档。消防控制中心24小时值班，收到火情、险情及其他异常情况报警信号后，及时报警，并安排人员及时赶到现场进行前期处理。</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保洁</w:t>
            </w:r>
          </w:p>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（20分）</w:t>
            </w:r>
          </w:p>
        </w:tc>
        <w:tc>
          <w:tcPr>
            <w:tcW w:w="6255" w:type="dxa"/>
            <w:tcBorders>
              <w:top w:val="single" w:color="auto" w:sz="4" w:space="0"/>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1、校园内无暴露垃圾，道路干净整洁，无果皮、纸屑、废弃物及污水，绿化带内干净、整洁、无白色垃圾；</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2、建筑物公共区域内门、窗干净，窗台板整洁，无灰尘，墙壁、天棚无积尘、蜘蛛网、污渍，无乱张贴乱悬挂；每年对整个校区不少于2次的全面消毒。</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3、卫生间无积水、痰迹、异味，便器无堵塞、污垢，各类卫生工具摆放整齐，工具房干净整洁；</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single" w:color="auto" w:sz="4" w:space="0"/>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4、门、开关面板、消防器材箱（管）、宣传板及管道无灰尘、污渍、蜘蛛网，无乱贴乱挂宣传品及广告；</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single" w:color="auto" w:sz="4" w:space="0"/>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5、垃圾房、垃圾桶内垃圾清运及时，垃圾房干净整洁，校园内无卫生死角；垃圾外运每天2次；</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712" w:hRule="atLeast"/>
          <w:jc w:val="center"/>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single" w:color="auto" w:sz="4" w:space="0"/>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6、楼内大厅、走廊、楼梯、踢脚线光洁，无垃圾、灰尘、污渍，砖缝无积垢；</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7、按时开关各类会议室，并保证室内干净、整洁和开水供应；</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8、电梯轿厢、井道、机房保持清洁；</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9、窗轨干净、可擦玻璃保持干净明亮；每年清洗一次；</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10、吸顶灯及外墙玻璃每年至少清洗一次以上，并做好相关记录；</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11、走廊、楼道、校园路灯等灯具表面无灰尘、蜘蛛网。</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维修</w:t>
            </w:r>
          </w:p>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(15分)</w:t>
            </w: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1、按时巡视服务区域，对公共设施的损坏及时维修，未能及时维修的要有上报记录，并存档；</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2、对校园内报修内容按承诺制度执行，未能及时维修的要有上报记录，并存档；</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3、做好设备房（配电房、强、弱电井，水泵房，集水井等）的巡视工作，并将相关巡视记录存档；</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4、掌握楼内主要电源及设备的开关位置和使用方法；</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1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5、维修结束后及时清理维修现场；报修本上维修结果填写规范。</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6、未按国家规定完成电梯、消防设备检测、维保等</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宿舍管理</w:t>
            </w:r>
          </w:p>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1、每天做好学生宿舍卫生、维修检查，并及时反馈；</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2、学生就寝后纪律管理、反馈，并做好相关记录；</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3、宿管员能对本楼学生进行100%的识别，准确识别是否属于本楼学生；</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4、宿管员每天对寝室安全进行检查含违章电器、家具、防火安全等，并记录上报；</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5、及时关注住校生思想动态，有问题及时上报，并做好记录。</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6、宿管员对学生实行晚点名、请假登记制度；</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120" w:hRule="atLeast"/>
          <w:jc w:val="center"/>
        </w:trPr>
        <w:tc>
          <w:tcPr>
            <w:tcW w:w="106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绿化</w:t>
            </w:r>
          </w:p>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（10分）</w:t>
            </w:r>
          </w:p>
        </w:tc>
        <w:tc>
          <w:tcPr>
            <w:tcW w:w="6255" w:type="dxa"/>
            <w:tcBorders>
              <w:top w:val="nil"/>
              <w:left w:val="nil"/>
              <w:bottom w:val="single" w:color="auto" w:sz="4" w:space="0"/>
              <w:right w:val="single" w:color="auto" w:sz="4" w:space="0"/>
            </w:tcBorders>
            <w:shd w:val="clear" w:color="auto" w:fill="FFFFFF"/>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1、绿地整洁，地面卫生，无垃圾杂物；</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shd w:val="clear" w:color="auto" w:fill="FFFFFF"/>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2、树木及时修剪，无徒长枝、病虫枝、过密枝、枯枝、伤损枝；宿根植物及时翻种、断根；植物无死株。</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shd w:val="clear" w:color="auto" w:fill="FFFFFF"/>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3、对盆栽植物及时修剪、养护，盆内无杂物；</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shd w:val="clear" w:color="auto" w:fill="FFFFFF"/>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4、绿地内水体整洁卫生、无漂浮杂物、无杂生水生植物；</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shd w:val="clear" w:color="auto" w:fill="FFFFFF"/>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5、草坪生长茂盛，无明显杂草，黄土不裸露，保持叶面清洁，有整体观赏效果；</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80" w:hRule="atLeast"/>
          <w:jc w:val="center"/>
        </w:trPr>
        <w:tc>
          <w:tcPr>
            <w:tcW w:w="106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shd w:val="clear" w:color="auto" w:fill="FFFFFF"/>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6、有防台措施，对危树及时采取修枝、加固或申报更换等措施，遇灾害性天气及时组织进行抢扶；</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240" w:hRule="atLeast"/>
          <w:jc w:val="center"/>
        </w:trPr>
        <w:tc>
          <w:tcPr>
            <w:tcW w:w="1064"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255" w:type="dxa"/>
            <w:tcBorders>
              <w:top w:val="nil"/>
              <w:left w:val="nil"/>
              <w:bottom w:val="single" w:color="auto" w:sz="4" w:space="0"/>
              <w:right w:val="single" w:color="auto" w:sz="4" w:space="0"/>
            </w:tcBorders>
            <w:shd w:val="clear" w:color="auto" w:fill="FFFFFF"/>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7、加强病虫害的检查防治，并记录存档；</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315" w:hRule="atLeast"/>
          <w:jc w:val="center"/>
        </w:trPr>
        <w:tc>
          <w:tcPr>
            <w:tcW w:w="1064"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总分</w:t>
            </w:r>
          </w:p>
        </w:tc>
        <w:tc>
          <w:tcPr>
            <w:tcW w:w="625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000000"/>
                <w:kern w:val="0"/>
                <w:sz w:val="21"/>
                <w:szCs w:val="21"/>
              </w:rPr>
            </w:pP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w:t>
            </w:r>
          </w:p>
        </w:tc>
        <w:tc>
          <w:tcPr>
            <w:tcW w:w="636" w:type="dxa"/>
            <w:tcBorders>
              <w:top w:val="nil"/>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000000"/>
                <w:kern w:val="0"/>
                <w:sz w:val="21"/>
                <w:szCs w:val="21"/>
              </w:rPr>
            </w:pPr>
          </w:p>
        </w:tc>
      </w:tr>
    </w:tbl>
    <w:p>
      <w:pPr>
        <w:spacing w:line="400" w:lineRule="exact"/>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考核人员：                                                     年  月  日</w:t>
      </w:r>
    </w:p>
    <w:p>
      <w:pPr>
        <w:spacing w:line="400" w:lineRule="exact"/>
        <w:ind w:firstLine="420" w:firstLineChars="200"/>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因乙方服务不当导致被政府职能部门整改、行政处罚、媒体报光、发生财产损失、事务受阻、人员伤亡等根据实际情况扣除5-20分，并承担相应法律责任。</w:t>
      </w:r>
    </w:p>
    <w:p>
      <w:pPr>
        <w:spacing w:line="40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2.分数等级退还履约保证金</w:t>
      </w:r>
    </w:p>
    <w:tbl>
      <w:tblPr>
        <w:tblStyle w:val="32"/>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8"/>
        <w:gridCol w:w="1090"/>
        <w:gridCol w:w="1360"/>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1502" w:type="dxa"/>
          </w:tcPr>
          <w:p>
            <w:pPr>
              <w:autoSpaceDE w:val="0"/>
              <w:autoSpaceDN w:val="0"/>
              <w:adjustRightInd w:val="0"/>
              <w:spacing w:line="400" w:lineRule="exact"/>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分类</w:t>
            </w:r>
          </w:p>
        </w:tc>
        <w:tc>
          <w:tcPr>
            <w:tcW w:w="1508" w:type="dxa"/>
          </w:tcPr>
          <w:p>
            <w:pPr>
              <w:autoSpaceDE w:val="0"/>
              <w:autoSpaceDN w:val="0"/>
              <w:adjustRightInd w:val="0"/>
              <w:spacing w:line="400" w:lineRule="exact"/>
              <w:ind w:firstLine="420" w:firstLineChars="2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优质</w:t>
            </w:r>
          </w:p>
        </w:tc>
        <w:tc>
          <w:tcPr>
            <w:tcW w:w="1090" w:type="dxa"/>
          </w:tcPr>
          <w:p>
            <w:pPr>
              <w:autoSpaceDE w:val="0"/>
              <w:autoSpaceDN w:val="0"/>
              <w:adjustRightInd w:val="0"/>
              <w:spacing w:line="400" w:lineRule="exact"/>
              <w:ind w:firstLine="420" w:firstLineChars="2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良好</w:t>
            </w:r>
          </w:p>
        </w:tc>
        <w:tc>
          <w:tcPr>
            <w:tcW w:w="1360" w:type="dxa"/>
          </w:tcPr>
          <w:p>
            <w:pPr>
              <w:autoSpaceDE w:val="0"/>
              <w:autoSpaceDN w:val="0"/>
              <w:adjustRightInd w:val="0"/>
              <w:spacing w:line="400" w:lineRule="exact"/>
              <w:ind w:firstLine="420" w:firstLineChars="2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合格</w:t>
            </w:r>
          </w:p>
        </w:tc>
        <w:tc>
          <w:tcPr>
            <w:tcW w:w="2955" w:type="dxa"/>
          </w:tcPr>
          <w:p>
            <w:pPr>
              <w:autoSpaceDE w:val="0"/>
              <w:autoSpaceDN w:val="0"/>
              <w:adjustRightInd w:val="0"/>
              <w:spacing w:line="400" w:lineRule="exact"/>
              <w:ind w:firstLine="420" w:firstLineChars="2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1502" w:type="dxa"/>
          </w:tcPr>
          <w:p>
            <w:pPr>
              <w:autoSpaceDE w:val="0"/>
              <w:autoSpaceDN w:val="0"/>
              <w:adjustRightInd w:val="0"/>
              <w:spacing w:line="4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分数等级</w:t>
            </w:r>
          </w:p>
        </w:tc>
        <w:tc>
          <w:tcPr>
            <w:tcW w:w="1508" w:type="dxa"/>
          </w:tcPr>
          <w:p>
            <w:pPr>
              <w:autoSpaceDE w:val="0"/>
              <w:autoSpaceDN w:val="0"/>
              <w:adjustRightInd w:val="0"/>
              <w:spacing w:line="400" w:lineRule="exact"/>
              <w:ind w:firstLine="420" w:firstLineChars="2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90分以上</w:t>
            </w:r>
          </w:p>
        </w:tc>
        <w:tc>
          <w:tcPr>
            <w:tcW w:w="1090" w:type="dxa"/>
          </w:tcPr>
          <w:p>
            <w:pPr>
              <w:autoSpaceDE w:val="0"/>
              <w:autoSpaceDN w:val="0"/>
              <w:adjustRightInd w:val="0"/>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85-90分</w:t>
            </w:r>
          </w:p>
        </w:tc>
        <w:tc>
          <w:tcPr>
            <w:tcW w:w="1360" w:type="dxa"/>
          </w:tcPr>
          <w:p>
            <w:pPr>
              <w:autoSpaceDE w:val="0"/>
              <w:autoSpaceDN w:val="0"/>
              <w:adjustRightInd w:val="0"/>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80-85分</w:t>
            </w:r>
          </w:p>
        </w:tc>
        <w:tc>
          <w:tcPr>
            <w:tcW w:w="2955" w:type="dxa"/>
          </w:tcPr>
          <w:p>
            <w:pPr>
              <w:autoSpaceDE w:val="0"/>
              <w:autoSpaceDN w:val="0"/>
              <w:adjustRightInd w:val="0"/>
              <w:spacing w:line="400" w:lineRule="exact"/>
              <w:ind w:firstLine="420" w:firstLineChars="2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502" w:type="dxa"/>
          </w:tcPr>
          <w:p>
            <w:pPr>
              <w:autoSpaceDE w:val="0"/>
              <w:autoSpaceDN w:val="0"/>
              <w:adjustRightInd w:val="0"/>
              <w:spacing w:line="40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履约保证金</w:t>
            </w:r>
          </w:p>
        </w:tc>
        <w:tc>
          <w:tcPr>
            <w:tcW w:w="1508" w:type="dxa"/>
          </w:tcPr>
          <w:p>
            <w:pPr>
              <w:autoSpaceDE w:val="0"/>
              <w:autoSpaceDN w:val="0"/>
              <w:adjustRightInd w:val="0"/>
              <w:spacing w:line="400" w:lineRule="exact"/>
              <w:ind w:firstLine="420" w:firstLineChars="2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100%</w:t>
            </w:r>
          </w:p>
        </w:tc>
        <w:tc>
          <w:tcPr>
            <w:tcW w:w="1090" w:type="dxa"/>
          </w:tcPr>
          <w:p>
            <w:pPr>
              <w:autoSpaceDE w:val="0"/>
              <w:autoSpaceDN w:val="0"/>
              <w:adjustRightInd w:val="0"/>
              <w:spacing w:line="400" w:lineRule="exact"/>
              <w:ind w:firstLine="420" w:firstLineChars="2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100%</w:t>
            </w:r>
          </w:p>
        </w:tc>
        <w:tc>
          <w:tcPr>
            <w:tcW w:w="1360" w:type="dxa"/>
          </w:tcPr>
          <w:p>
            <w:pPr>
              <w:autoSpaceDE w:val="0"/>
              <w:autoSpaceDN w:val="0"/>
              <w:adjustRightInd w:val="0"/>
              <w:spacing w:line="400" w:lineRule="exact"/>
              <w:ind w:firstLine="420" w:firstLineChars="20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80%</w:t>
            </w:r>
          </w:p>
        </w:tc>
        <w:tc>
          <w:tcPr>
            <w:tcW w:w="2955" w:type="dxa"/>
          </w:tcPr>
          <w:p>
            <w:pPr>
              <w:autoSpaceDE w:val="0"/>
              <w:autoSpaceDN w:val="0"/>
              <w:adjustRightInd w:val="0"/>
              <w:spacing w:line="4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整改后低于合格等级不退还</w:t>
            </w:r>
          </w:p>
        </w:tc>
      </w:tr>
    </w:tbl>
    <w:p>
      <w:pPr>
        <w:spacing w:line="400" w:lineRule="exact"/>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同期考评为良好以上，学院全额支付物业管理费及退还履约保证金；季度综合考评为合格以下，甲方要求乙方定期整改，复查为良好以上后再进行费用支付；如果2次不按期按质进行整改，甲方有权解除物业服务合同。</w:t>
      </w:r>
    </w:p>
    <w:p>
      <w:pPr>
        <w:spacing w:line="360" w:lineRule="auto"/>
        <w:rPr>
          <w:rFonts w:ascii="宋体" w:hAnsi="宋体" w:cstheme="minorEastAsia"/>
          <w:b/>
          <w:bCs/>
          <w:sz w:val="24"/>
        </w:rPr>
      </w:pPr>
    </w:p>
    <w:bookmarkEnd w:id="327"/>
    <w:p>
      <w:pPr>
        <w:spacing w:line="360" w:lineRule="auto"/>
        <w:ind w:firstLine="420" w:firstLineChars="200"/>
        <w:jc w:val="center"/>
        <w:rPr>
          <w:rFonts w:asciiTheme="minorEastAsia" w:hAnsiTheme="minorEastAsia" w:eastAsiaTheme="minorEastAsia" w:cstheme="minorEastAsia"/>
          <w:b/>
          <w:bCs/>
          <w:szCs w:val="21"/>
        </w:rPr>
      </w:pPr>
      <w:bookmarkStart w:id="337" w:name="_Toc6331"/>
      <w:bookmarkStart w:id="338" w:name="_Toc26268"/>
    </w:p>
    <w:p>
      <w:pPr>
        <w:pStyle w:val="5"/>
        <w:rPr>
          <w:rFonts w:asciiTheme="minorEastAsia" w:hAnsiTheme="minorEastAsia" w:eastAsiaTheme="minorEastAsia" w:cstheme="minorEastAsia"/>
          <w:sz w:val="21"/>
          <w:szCs w:val="21"/>
        </w:rPr>
        <w:sectPr>
          <w:pgSz w:w="11906" w:h="16838"/>
          <w:pgMar w:top="1418" w:right="1134" w:bottom="1134" w:left="1418" w:header="935" w:footer="680" w:gutter="0"/>
          <w:cols w:space="720" w:num="1"/>
          <w:docGrid w:type="linesAndChars" w:linePitch="312" w:charSpace="0"/>
        </w:sectPr>
      </w:pPr>
    </w:p>
    <w:p>
      <w:pPr>
        <w:jc w:val="center"/>
        <w:outlineLvl w:val="0"/>
        <w:rPr>
          <w:rFonts w:ascii="宋体" w:hAnsi="宋体"/>
          <w:b/>
          <w:bCs/>
          <w:sz w:val="32"/>
        </w:rPr>
      </w:pPr>
      <w:bookmarkStart w:id="339" w:name="_Toc29234"/>
      <w:r>
        <w:rPr>
          <w:rFonts w:ascii="宋体" w:hAnsi="宋体"/>
          <w:b/>
          <w:bCs/>
          <w:sz w:val="32"/>
        </w:rPr>
        <w:t>第六章  评审</w:t>
      </w:r>
      <w:bookmarkEnd w:id="339"/>
    </w:p>
    <w:bookmarkEnd w:id="337"/>
    <w:bookmarkEnd w:id="338"/>
    <w:p>
      <w:pPr>
        <w:pStyle w:val="4"/>
        <w:numPr>
          <w:ilvl w:val="0"/>
          <w:numId w:val="0"/>
        </w:numPr>
        <w:spacing w:before="0"/>
        <w:rPr>
          <w:rFonts w:ascii="宋体" w:hAnsi="宋体"/>
          <w:szCs w:val="28"/>
        </w:rPr>
      </w:pPr>
      <w:bookmarkStart w:id="340" w:name="_Toc21761"/>
      <w:r>
        <w:rPr>
          <w:rFonts w:hint="eastAsia" w:ascii="宋体" w:hAnsi="宋体"/>
          <w:szCs w:val="28"/>
        </w:rPr>
        <w:t>评</w:t>
      </w:r>
      <w:bookmarkStart w:id="341" w:name="_Toc5558"/>
      <w:bookmarkStart w:id="342" w:name="_Toc17490"/>
      <w:r>
        <w:rPr>
          <w:rFonts w:hint="eastAsia" w:ascii="宋体" w:hAnsi="宋体"/>
          <w:szCs w:val="28"/>
        </w:rPr>
        <w:t>审标准</w:t>
      </w:r>
      <w:r>
        <w:rPr>
          <w:rFonts w:ascii="宋体" w:hAnsi="宋体"/>
          <w:szCs w:val="28"/>
        </w:rPr>
        <w:t>前附表</w:t>
      </w:r>
      <w:bookmarkEnd w:id="340"/>
    </w:p>
    <w:bookmarkEnd w:id="341"/>
    <w:bookmarkEnd w:id="342"/>
    <w:tbl>
      <w:tblPr>
        <w:tblStyle w:val="32"/>
        <w:tblW w:w="92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817"/>
        <w:gridCol w:w="1397"/>
        <w:gridCol w:w="626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34" w:type="dxa"/>
            <w:gridSpan w:val="2"/>
            <w:vAlign w:val="center"/>
          </w:tcPr>
          <w:p>
            <w:pPr>
              <w:jc w:val="center"/>
              <w:rPr>
                <w:rFonts w:ascii="宋体"/>
                <w:b/>
                <w:szCs w:val="21"/>
              </w:rPr>
            </w:pPr>
            <w:r>
              <w:rPr>
                <w:rFonts w:hint="eastAsia" w:ascii="宋体"/>
                <w:b/>
                <w:szCs w:val="21"/>
              </w:rPr>
              <w:t>条款号</w:t>
            </w:r>
          </w:p>
        </w:tc>
        <w:tc>
          <w:tcPr>
            <w:tcW w:w="1397" w:type="dxa"/>
            <w:vAlign w:val="center"/>
          </w:tcPr>
          <w:p>
            <w:pPr>
              <w:jc w:val="center"/>
              <w:rPr>
                <w:rFonts w:ascii="宋体"/>
                <w:b/>
                <w:szCs w:val="21"/>
              </w:rPr>
            </w:pPr>
            <w:r>
              <w:rPr>
                <w:rFonts w:hint="eastAsia" w:ascii="宋体"/>
                <w:b/>
                <w:szCs w:val="21"/>
              </w:rPr>
              <w:t>评 审 因 素</w:t>
            </w:r>
          </w:p>
        </w:tc>
        <w:tc>
          <w:tcPr>
            <w:tcW w:w="6265" w:type="dxa"/>
            <w:vAlign w:val="center"/>
          </w:tcPr>
          <w:p>
            <w:pPr>
              <w:jc w:val="center"/>
              <w:rPr>
                <w:rFonts w:ascii="宋体"/>
                <w:b/>
                <w:szCs w:val="21"/>
              </w:rPr>
            </w:pPr>
            <w:r>
              <w:rPr>
                <w:rFonts w:hint="eastAsia" w:ascii="宋体"/>
                <w:b/>
                <w:szCs w:val="21"/>
              </w:rPr>
              <w:t>评 审 标 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84" w:hRule="atLeast"/>
          <w:jc w:val="center"/>
        </w:trPr>
        <w:tc>
          <w:tcPr>
            <w:tcW w:w="817" w:type="dxa"/>
            <w:vMerge w:val="restart"/>
            <w:vAlign w:val="center"/>
          </w:tcPr>
          <w:p>
            <w:pPr>
              <w:jc w:val="center"/>
              <w:rPr>
                <w:rFonts w:ascii="宋体"/>
                <w:szCs w:val="21"/>
              </w:rPr>
            </w:pPr>
            <w:r>
              <w:rPr>
                <w:rFonts w:hint="eastAsia" w:ascii="宋体"/>
                <w:szCs w:val="21"/>
              </w:rPr>
              <w:t>2.1</w:t>
            </w:r>
          </w:p>
        </w:tc>
        <w:tc>
          <w:tcPr>
            <w:tcW w:w="817" w:type="dxa"/>
            <w:vMerge w:val="restart"/>
            <w:vAlign w:val="center"/>
          </w:tcPr>
          <w:p>
            <w:pPr>
              <w:jc w:val="center"/>
              <w:rPr>
                <w:rFonts w:ascii="宋体"/>
                <w:szCs w:val="21"/>
              </w:rPr>
            </w:pPr>
            <w:r>
              <w:rPr>
                <w:rFonts w:hint="eastAsia" w:ascii="宋体"/>
                <w:szCs w:val="21"/>
              </w:rPr>
              <w:t>资格</w:t>
            </w:r>
          </w:p>
          <w:p>
            <w:pPr>
              <w:jc w:val="center"/>
              <w:rPr>
                <w:rFonts w:ascii="宋体"/>
                <w:szCs w:val="21"/>
              </w:rPr>
            </w:pPr>
            <w:r>
              <w:rPr>
                <w:rFonts w:hint="eastAsia" w:ascii="宋体"/>
                <w:szCs w:val="21"/>
              </w:rPr>
              <w:t>评审</w:t>
            </w:r>
          </w:p>
          <w:p>
            <w:pPr>
              <w:jc w:val="center"/>
              <w:rPr>
                <w:rFonts w:ascii="宋体"/>
                <w:szCs w:val="21"/>
              </w:rPr>
            </w:pPr>
            <w:r>
              <w:rPr>
                <w:rFonts w:hint="eastAsia" w:ascii="宋体"/>
                <w:szCs w:val="21"/>
              </w:rPr>
              <w:t>标准</w:t>
            </w:r>
          </w:p>
        </w:tc>
        <w:tc>
          <w:tcPr>
            <w:tcW w:w="1397" w:type="dxa"/>
            <w:vAlign w:val="center"/>
          </w:tcPr>
          <w:p>
            <w:pPr>
              <w:jc w:val="center"/>
              <w:rPr>
                <w:rFonts w:ascii="宋体"/>
                <w:szCs w:val="21"/>
              </w:rPr>
            </w:pPr>
            <w:r>
              <w:rPr>
                <w:rFonts w:hint="eastAsia" w:ascii="宋体"/>
                <w:szCs w:val="21"/>
              </w:rPr>
              <w:t>资格条件</w:t>
            </w:r>
          </w:p>
        </w:tc>
        <w:tc>
          <w:tcPr>
            <w:tcW w:w="6265" w:type="dxa"/>
            <w:vAlign w:val="center"/>
          </w:tcPr>
          <w:p>
            <w:pPr>
              <w:rPr>
                <w:rFonts w:ascii="宋体"/>
                <w:szCs w:val="21"/>
              </w:rPr>
            </w:pPr>
            <w:r>
              <w:rPr>
                <w:rFonts w:hint="eastAsia" w:ascii="宋体"/>
                <w:szCs w:val="21"/>
              </w:rPr>
              <w:t>符合第二章“供应商须知”第4项规定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72" w:hRule="atLeast"/>
          <w:jc w:val="center"/>
        </w:trPr>
        <w:tc>
          <w:tcPr>
            <w:tcW w:w="817" w:type="dxa"/>
            <w:vMerge w:val="continue"/>
            <w:vAlign w:val="center"/>
          </w:tcPr>
          <w:p/>
        </w:tc>
        <w:tc>
          <w:tcPr>
            <w:tcW w:w="817" w:type="dxa"/>
            <w:vMerge w:val="continue"/>
            <w:vAlign w:val="center"/>
          </w:tcPr>
          <w:p/>
        </w:tc>
        <w:tc>
          <w:tcPr>
            <w:tcW w:w="1397" w:type="dxa"/>
            <w:vAlign w:val="center"/>
          </w:tcPr>
          <w:p>
            <w:pPr>
              <w:jc w:val="center"/>
              <w:rPr>
                <w:rFonts w:ascii="宋体"/>
                <w:szCs w:val="21"/>
              </w:rPr>
            </w:pPr>
            <w:r>
              <w:rPr>
                <w:rFonts w:hint="eastAsia" w:ascii="宋体"/>
                <w:szCs w:val="21"/>
              </w:rPr>
              <w:t>磋商保证金</w:t>
            </w:r>
          </w:p>
        </w:tc>
        <w:tc>
          <w:tcPr>
            <w:tcW w:w="6265" w:type="dxa"/>
            <w:vAlign w:val="center"/>
          </w:tcPr>
          <w:p>
            <w:pPr>
              <w:rPr>
                <w:rFonts w:ascii="宋体"/>
                <w:szCs w:val="21"/>
              </w:rPr>
            </w:pPr>
            <w:r>
              <w:rPr>
                <w:rFonts w:hint="eastAsia" w:ascii="宋体"/>
                <w:szCs w:val="21"/>
              </w:rPr>
              <w:t>符合第二章“供应商须知”第13项规定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restart"/>
            <w:vAlign w:val="center"/>
          </w:tcPr>
          <w:p>
            <w:pPr>
              <w:jc w:val="center"/>
              <w:rPr>
                <w:rFonts w:ascii="宋体"/>
                <w:szCs w:val="21"/>
              </w:rPr>
            </w:pPr>
            <w:r>
              <w:rPr>
                <w:rFonts w:hint="eastAsia" w:ascii="宋体"/>
                <w:szCs w:val="21"/>
              </w:rPr>
              <w:t>2.2</w:t>
            </w:r>
          </w:p>
        </w:tc>
        <w:tc>
          <w:tcPr>
            <w:tcW w:w="817" w:type="dxa"/>
            <w:vMerge w:val="restart"/>
            <w:vAlign w:val="center"/>
          </w:tcPr>
          <w:p>
            <w:pPr>
              <w:jc w:val="center"/>
              <w:rPr>
                <w:rFonts w:ascii="宋体"/>
                <w:szCs w:val="21"/>
              </w:rPr>
            </w:pPr>
            <w:r>
              <w:rPr>
                <w:rFonts w:hint="eastAsia" w:ascii="宋体"/>
                <w:szCs w:val="21"/>
              </w:rPr>
              <w:t>符合</w:t>
            </w:r>
          </w:p>
          <w:p>
            <w:pPr>
              <w:jc w:val="center"/>
              <w:rPr>
                <w:rFonts w:ascii="宋体"/>
                <w:szCs w:val="21"/>
              </w:rPr>
            </w:pPr>
            <w:r>
              <w:rPr>
                <w:rFonts w:hint="eastAsia" w:ascii="宋体"/>
                <w:szCs w:val="21"/>
              </w:rPr>
              <w:t>性评</w:t>
            </w:r>
          </w:p>
          <w:p>
            <w:pPr>
              <w:jc w:val="center"/>
              <w:rPr>
                <w:rFonts w:ascii="宋体"/>
                <w:szCs w:val="21"/>
              </w:rPr>
            </w:pPr>
            <w:r>
              <w:rPr>
                <w:rFonts w:hint="eastAsia" w:ascii="宋体"/>
                <w:szCs w:val="21"/>
              </w:rPr>
              <w:t>审标</w:t>
            </w:r>
          </w:p>
          <w:p>
            <w:pPr>
              <w:jc w:val="center"/>
              <w:rPr>
                <w:rFonts w:ascii="宋体"/>
                <w:szCs w:val="21"/>
              </w:rPr>
            </w:pPr>
            <w:r>
              <w:rPr>
                <w:rFonts w:hint="eastAsia" w:ascii="宋体"/>
                <w:szCs w:val="21"/>
              </w:rPr>
              <w:t>准</w:t>
            </w:r>
          </w:p>
        </w:tc>
        <w:tc>
          <w:tcPr>
            <w:tcW w:w="1397"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响应文件格式</w:t>
            </w:r>
          </w:p>
        </w:tc>
        <w:tc>
          <w:tcPr>
            <w:tcW w:w="6265"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响应文件按磋商文件格式及内容要求签署、盖章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vAlign w:val="center"/>
          </w:tcPr>
          <w:p>
            <w:pPr>
              <w:jc w:val="center"/>
              <w:rPr>
                <w:rFonts w:ascii="宋体"/>
                <w:szCs w:val="21"/>
              </w:rPr>
            </w:pPr>
          </w:p>
        </w:tc>
        <w:tc>
          <w:tcPr>
            <w:tcW w:w="817" w:type="dxa"/>
            <w:vMerge w:val="continue"/>
            <w:vAlign w:val="center"/>
          </w:tcPr>
          <w:p>
            <w:pPr>
              <w:jc w:val="center"/>
              <w:rPr>
                <w:rFonts w:ascii="宋体"/>
                <w:szCs w:val="21"/>
              </w:rPr>
            </w:pPr>
          </w:p>
        </w:tc>
        <w:tc>
          <w:tcPr>
            <w:tcW w:w="1397" w:type="dxa"/>
            <w:vAlign w:val="center"/>
          </w:tcPr>
          <w:p>
            <w:pPr>
              <w:jc w:val="center"/>
              <w:rPr>
                <w:rFonts w:ascii="宋体"/>
                <w:szCs w:val="21"/>
              </w:rPr>
            </w:pPr>
            <w:r>
              <w:rPr>
                <w:rFonts w:hint="eastAsia" w:ascii="宋体"/>
                <w:szCs w:val="21"/>
              </w:rPr>
              <w:t>供应商经营范围</w:t>
            </w:r>
          </w:p>
        </w:tc>
        <w:tc>
          <w:tcPr>
            <w:tcW w:w="6265" w:type="dxa"/>
            <w:vAlign w:val="center"/>
          </w:tcPr>
          <w:p>
            <w:pPr>
              <w:rPr>
                <w:rFonts w:ascii="宋体"/>
                <w:szCs w:val="21"/>
              </w:rPr>
            </w:pPr>
            <w:r>
              <w:rPr>
                <w:rFonts w:hint="eastAsia" w:ascii="宋体"/>
                <w:szCs w:val="21"/>
              </w:rPr>
              <w:t>与营业执照一致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vAlign w:val="center"/>
          </w:tcPr>
          <w:p/>
        </w:tc>
        <w:tc>
          <w:tcPr>
            <w:tcW w:w="817" w:type="dxa"/>
            <w:vMerge w:val="continue"/>
            <w:vAlign w:val="center"/>
          </w:tcPr>
          <w:p/>
        </w:tc>
        <w:tc>
          <w:tcPr>
            <w:tcW w:w="1397" w:type="dxa"/>
            <w:vAlign w:val="center"/>
          </w:tcPr>
          <w:p>
            <w:pPr>
              <w:jc w:val="center"/>
              <w:rPr>
                <w:rFonts w:ascii="宋体"/>
              </w:rPr>
            </w:pPr>
            <w:r>
              <w:rPr>
                <w:rFonts w:hint="eastAsia" w:ascii="宋体"/>
              </w:rPr>
              <w:t>竞争性磋商响应承诺函</w:t>
            </w:r>
          </w:p>
        </w:tc>
        <w:tc>
          <w:tcPr>
            <w:tcW w:w="6265" w:type="dxa"/>
            <w:vAlign w:val="center"/>
          </w:tcPr>
          <w:p>
            <w:pPr>
              <w:rPr>
                <w:rFonts w:ascii="宋体"/>
              </w:rPr>
            </w:pPr>
            <w:r>
              <w:rPr>
                <w:rFonts w:hint="eastAsia" w:ascii="宋体"/>
              </w:rPr>
              <w:t>有法定代表人签字或盖章，并加盖单位鲜章；符合磋商文件给定格式及内容；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6" w:hRule="atLeast"/>
          <w:jc w:val="center"/>
        </w:trPr>
        <w:tc>
          <w:tcPr>
            <w:tcW w:w="817" w:type="dxa"/>
            <w:vMerge w:val="continue"/>
            <w:vAlign w:val="center"/>
          </w:tcPr>
          <w:p/>
        </w:tc>
        <w:tc>
          <w:tcPr>
            <w:tcW w:w="817" w:type="dxa"/>
            <w:vMerge w:val="continue"/>
            <w:vAlign w:val="center"/>
          </w:tcPr>
          <w:p/>
        </w:tc>
        <w:tc>
          <w:tcPr>
            <w:tcW w:w="1397" w:type="dxa"/>
            <w:vAlign w:val="center"/>
          </w:tcPr>
          <w:p>
            <w:pPr>
              <w:jc w:val="center"/>
              <w:rPr>
                <w:rFonts w:ascii="宋体"/>
              </w:rPr>
            </w:pPr>
            <w:r>
              <w:rPr>
                <w:rFonts w:hint="eastAsia" w:ascii="宋体"/>
              </w:rPr>
              <w:t>法定代表人资格证明书</w:t>
            </w:r>
          </w:p>
        </w:tc>
        <w:tc>
          <w:tcPr>
            <w:tcW w:w="6265" w:type="dxa"/>
            <w:vAlign w:val="center"/>
          </w:tcPr>
          <w:p>
            <w:pPr>
              <w:rPr>
                <w:rFonts w:ascii="宋体"/>
              </w:rPr>
            </w:pPr>
            <w:r>
              <w:rPr>
                <w:rFonts w:hint="eastAsia" w:ascii="宋体"/>
              </w:rPr>
              <w:t>符合磋商文件给定格式及内容,并加盖单位鲜章；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17" w:type="dxa"/>
            <w:vMerge w:val="continue"/>
            <w:vAlign w:val="center"/>
          </w:tcPr>
          <w:p/>
        </w:tc>
        <w:tc>
          <w:tcPr>
            <w:tcW w:w="817" w:type="dxa"/>
            <w:vMerge w:val="continue"/>
            <w:vAlign w:val="center"/>
          </w:tcPr>
          <w:p/>
        </w:tc>
        <w:tc>
          <w:tcPr>
            <w:tcW w:w="1397" w:type="dxa"/>
            <w:vMerge w:val="restart"/>
            <w:vAlign w:val="center"/>
          </w:tcPr>
          <w:p>
            <w:pPr>
              <w:jc w:val="center"/>
              <w:rPr>
                <w:rFonts w:ascii="宋体"/>
              </w:rPr>
            </w:pPr>
            <w:r>
              <w:rPr>
                <w:rFonts w:hint="eastAsia" w:ascii="宋体"/>
              </w:rPr>
              <w:t>法定代表人授权委托书</w:t>
            </w:r>
          </w:p>
        </w:tc>
        <w:tc>
          <w:tcPr>
            <w:tcW w:w="6265" w:type="dxa"/>
            <w:vAlign w:val="center"/>
          </w:tcPr>
          <w:p>
            <w:pPr>
              <w:rPr>
                <w:rFonts w:ascii="宋体"/>
              </w:rPr>
            </w:pPr>
            <w:r>
              <w:rPr>
                <w:rFonts w:hint="eastAsia" w:ascii="宋体"/>
              </w:rPr>
              <w:t xml:space="preserve">有法定代表人签字或盖章，并加盖单位鲜章；符合磋商文件给定格式及内容；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5" w:hRule="atLeast"/>
          <w:jc w:val="center"/>
        </w:trPr>
        <w:tc>
          <w:tcPr>
            <w:tcW w:w="817" w:type="dxa"/>
            <w:vMerge w:val="continue"/>
            <w:vAlign w:val="center"/>
          </w:tcPr>
          <w:p/>
        </w:tc>
        <w:tc>
          <w:tcPr>
            <w:tcW w:w="817" w:type="dxa"/>
            <w:vMerge w:val="continue"/>
            <w:vAlign w:val="center"/>
          </w:tcPr>
          <w:p/>
        </w:tc>
        <w:tc>
          <w:tcPr>
            <w:tcW w:w="1397" w:type="dxa"/>
            <w:vMerge w:val="continue"/>
            <w:vAlign w:val="center"/>
          </w:tcPr>
          <w:p>
            <w:pPr>
              <w:jc w:val="center"/>
              <w:rPr>
                <w:rFonts w:ascii="宋体"/>
              </w:rPr>
            </w:pPr>
          </w:p>
        </w:tc>
        <w:tc>
          <w:tcPr>
            <w:tcW w:w="6265" w:type="dxa"/>
            <w:vAlign w:val="center"/>
          </w:tcPr>
          <w:p>
            <w:pPr>
              <w:rPr>
                <w:rFonts w:ascii="宋体"/>
              </w:rPr>
            </w:pPr>
            <w:r>
              <w:rPr>
                <w:rFonts w:hint="eastAsia" w:ascii="宋体"/>
              </w:rPr>
              <w:t>注：响应文件（包括磋商过程中的澄清、说明或者补正）由法定代表人签署的，不审查该项。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4" w:hRule="atLeast"/>
          <w:jc w:val="center"/>
        </w:trPr>
        <w:tc>
          <w:tcPr>
            <w:tcW w:w="817" w:type="dxa"/>
            <w:vMerge w:val="continue"/>
            <w:vAlign w:val="center"/>
          </w:tcPr>
          <w:p/>
        </w:tc>
        <w:tc>
          <w:tcPr>
            <w:tcW w:w="817" w:type="dxa"/>
            <w:vMerge w:val="continue"/>
            <w:vAlign w:val="center"/>
          </w:tcPr>
          <w:p/>
        </w:tc>
        <w:tc>
          <w:tcPr>
            <w:tcW w:w="1397" w:type="dxa"/>
            <w:vAlign w:val="center"/>
          </w:tcPr>
          <w:p>
            <w:pPr>
              <w:jc w:val="center"/>
              <w:rPr>
                <w:rFonts w:ascii="宋体"/>
              </w:rPr>
            </w:pPr>
            <w:r>
              <w:rPr>
                <w:rFonts w:hint="eastAsia" w:ascii="宋体"/>
                <w:szCs w:val="21"/>
              </w:rPr>
              <w:t>报价</w:t>
            </w:r>
          </w:p>
        </w:tc>
        <w:tc>
          <w:tcPr>
            <w:tcW w:w="6265" w:type="dxa"/>
            <w:vAlign w:val="center"/>
          </w:tcPr>
          <w:p>
            <w:pPr>
              <w:rPr>
                <w:rFonts w:ascii="宋体"/>
              </w:rPr>
            </w:pPr>
            <w:r>
              <w:rPr>
                <w:rFonts w:hint="eastAsia" w:ascii="宋体"/>
              </w:rPr>
              <w:t>完整且只有一个有效报价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vAlign w:val="center"/>
          </w:tcPr>
          <w:p/>
        </w:tc>
        <w:tc>
          <w:tcPr>
            <w:tcW w:w="817" w:type="dxa"/>
            <w:vMerge w:val="continue"/>
            <w:vAlign w:val="center"/>
          </w:tcPr>
          <w:p/>
        </w:tc>
        <w:tc>
          <w:tcPr>
            <w:tcW w:w="1397" w:type="dxa"/>
            <w:vAlign w:val="center"/>
          </w:tcPr>
          <w:p>
            <w:pPr>
              <w:jc w:val="center"/>
              <w:rPr>
                <w:rFonts w:ascii="宋体"/>
                <w:szCs w:val="21"/>
              </w:rPr>
            </w:pPr>
            <w:r>
              <w:rPr>
                <w:rFonts w:hint="eastAsia" w:ascii="宋体"/>
                <w:szCs w:val="21"/>
              </w:rPr>
              <w:t>磋商有效期</w:t>
            </w:r>
          </w:p>
        </w:tc>
        <w:tc>
          <w:tcPr>
            <w:tcW w:w="6265" w:type="dxa"/>
            <w:vAlign w:val="center"/>
          </w:tcPr>
          <w:p>
            <w:pPr>
              <w:rPr>
                <w:rFonts w:ascii="宋体"/>
                <w:szCs w:val="21"/>
              </w:rPr>
            </w:pPr>
            <w:r>
              <w:rPr>
                <w:rFonts w:hint="eastAsia" w:ascii="宋体"/>
                <w:szCs w:val="21"/>
              </w:rPr>
              <w:t>符合第二章“供应商须知”第11.1项规定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vAlign w:val="center"/>
          </w:tcPr>
          <w:p/>
        </w:tc>
        <w:tc>
          <w:tcPr>
            <w:tcW w:w="817" w:type="dxa"/>
            <w:vMerge w:val="continue"/>
            <w:vAlign w:val="center"/>
          </w:tcPr>
          <w:p/>
        </w:tc>
        <w:tc>
          <w:tcPr>
            <w:tcW w:w="1397" w:type="dxa"/>
            <w:vAlign w:val="center"/>
          </w:tcPr>
          <w:p>
            <w:pPr>
              <w:jc w:val="center"/>
              <w:rPr>
                <w:rFonts w:ascii="宋体"/>
                <w:szCs w:val="21"/>
              </w:rPr>
            </w:pPr>
            <w:r>
              <w:rPr>
                <w:rFonts w:hint="eastAsia" w:ascii="宋体"/>
                <w:szCs w:val="21"/>
              </w:rPr>
              <w:t>实质性条件</w:t>
            </w:r>
          </w:p>
        </w:tc>
        <w:tc>
          <w:tcPr>
            <w:tcW w:w="6265" w:type="dxa"/>
            <w:vAlign w:val="center"/>
          </w:tcPr>
          <w:p>
            <w:pPr>
              <w:rPr>
                <w:rFonts w:ascii="宋体"/>
                <w:szCs w:val="21"/>
              </w:rPr>
            </w:pPr>
            <w:r>
              <w:rPr>
                <w:rFonts w:hint="eastAsia" w:ascii="宋体"/>
                <w:szCs w:val="21"/>
              </w:rPr>
              <w:t>实质性响应</w:t>
            </w:r>
            <w:r>
              <w:rPr>
                <w:rFonts w:hint="eastAsia" w:ascii="宋体"/>
              </w:rPr>
              <w:t>竞争性磋商</w:t>
            </w:r>
            <w:r>
              <w:rPr>
                <w:rFonts w:hint="eastAsia" w:ascii="宋体"/>
                <w:szCs w:val="21"/>
              </w:rPr>
              <w:t>文件中标注★条款内容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vAlign w:val="center"/>
          </w:tcPr>
          <w:p/>
        </w:tc>
        <w:tc>
          <w:tcPr>
            <w:tcW w:w="817" w:type="dxa"/>
            <w:vMerge w:val="continue"/>
            <w:vAlign w:val="center"/>
          </w:tcPr>
          <w:p/>
        </w:tc>
        <w:tc>
          <w:tcPr>
            <w:tcW w:w="139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响应文件无效</w:t>
            </w:r>
          </w:p>
        </w:tc>
        <w:tc>
          <w:tcPr>
            <w:tcW w:w="6265"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无磋商文件规定的其他响应文件无效情形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34" w:type="dxa"/>
            <w:gridSpan w:val="2"/>
            <w:vAlign w:val="center"/>
          </w:tcPr>
          <w:p>
            <w:pPr>
              <w:jc w:val="center"/>
              <w:rPr>
                <w:rFonts w:ascii="宋体"/>
                <w:szCs w:val="21"/>
              </w:rPr>
            </w:pPr>
            <w:r>
              <w:rPr>
                <w:rFonts w:hint="eastAsia" w:ascii="宋体"/>
                <w:b/>
                <w:szCs w:val="21"/>
              </w:rPr>
              <w:t>条款号</w:t>
            </w:r>
          </w:p>
        </w:tc>
        <w:tc>
          <w:tcPr>
            <w:tcW w:w="1397" w:type="dxa"/>
            <w:vAlign w:val="center"/>
          </w:tcPr>
          <w:p>
            <w:pPr>
              <w:jc w:val="center"/>
              <w:rPr>
                <w:rFonts w:ascii="宋体"/>
                <w:b/>
                <w:szCs w:val="21"/>
              </w:rPr>
            </w:pPr>
            <w:r>
              <w:rPr>
                <w:rFonts w:hint="eastAsia" w:ascii="宋体"/>
                <w:b/>
                <w:szCs w:val="21"/>
              </w:rPr>
              <w:t>条款内容</w:t>
            </w:r>
          </w:p>
        </w:tc>
        <w:tc>
          <w:tcPr>
            <w:tcW w:w="6265" w:type="dxa"/>
            <w:vAlign w:val="center"/>
          </w:tcPr>
          <w:p>
            <w:pPr>
              <w:jc w:val="center"/>
              <w:rPr>
                <w:rFonts w:ascii="宋体"/>
                <w:b/>
                <w:szCs w:val="21"/>
              </w:rPr>
            </w:pPr>
            <w:r>
              <w:rPr>
                <w:rFonts w:hint="eastAsia" w:ascii="宋体"/>
                <w:b/>
                <w:szCs w:val="21"/>
              </w:rPr>
              <w:t>编列内容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34" w:type="dxa"/>
            <w:gridSpan w:val="2"/>
            <w:vMerge w:val="restart"/>
            <w:vAlign w:val="center"/>
          </w:tcPr>
          <w:p>
            <w:pPr>
              <w:jc w:val="center"/>
              <w:rPr>
                <w:rFonts w:ascii="宋体"/>
                <w:szCs w:val="21"/>
              </w:rPr>
            </w:pPr>
            <w:r>
              <w:rPr>
                <w:rFonts w:hint="eastAsia" w:ascii="宋体"/>
                <w:szCs w:val="21"/>
              </w:rPr>
              <w:t>2.3.1</w:t>
            </w:r>
          </w:p>
        </w:tc>
        <w:tc>
          <w:tcPr>
            <w:tcW w:w="1397" w:type="dxa"/>
            <w:vMerge w:val="restart"/>
            <w:vAlign w:val="center"/>
          </w:tcPr>
          <w:p>
            <w:pPr>
              <w:jc w:val="center"/>
              <w:rPr>
                <w:rFonts w:ascii="宋体"/>
                <w:szCs w:val="21"/>
              </w:rPr>
            </w:pPr>
            <w:r>
              <w:rPr>
                <w:rFonts w:hint="eastAsia" w:ascii="宋体"/>
                <w:szCs w:val="21"/>
              </w:rPr>
              <w:t>分值构成</w:t>
            </w:r>
          </w:p>
          <w:p>
            <w:pPr>
              <w:jc w:val="center"/>
              <w:rPr>
                <w:rFonts w:ascii="宋体"/>
                <w:szCs w:val="21"/>
              </w:rPr>
            </w:pPr>
            <w:r>
              <w:rPr>
                <w:rFonts w:hint="eastAsia" w:ascii="宋体"/>
                <w:szCs w:val="21"/>
              </w:rPr>
              <w:t>（满分100分）</w:t>
            </w:r>
          </w:p>
        </w:tc>
        <w:tc>
          <w:tcPr>
            <w:tcW w:w="6265" w:type="dxa"/>
            <w:vAlign w:val="center"/>
          </w:tcPr>
          <w:p>
            <w:pPr>
              <w:rPr>
                <w:rFonts w:ascii="宋体"/>
                <w:szCs w:val="21"/>
              </w:rPr>
            </w:pPr>
            <w:r>
              <w:rPr>
                <w:rFonts w:hint="eastAsia" w:ascii="宋体"/>
                <w:szCs w:val="21"/>
              </w:rPr>
              <w:t>供应商的评审总得分＝F1×A1＋F2×A2＋F3×A3</w:t>
            </w:r>
          </w:p>
          <w:p>
            <w:pPr>
              <w:rPr>
                <w:rFonts w:ascii="宋体"/>
                <w:szCs w:val="21"/>
              </w:rPr>
            </w:pPr>
            <w:r>
              <w:rPr>
                <w:rFonts w:hint="eastAsia" w:ascii="宋体"/>
                <w:szCs w:val="21"/>
              </w:rPr>
              <w:t>其中：</w:t>
            </w:r>
          </w:p>
          <w:p>
            <w:pPr>
              <w:rPr>
                <w:rFonts w:ascii="宋体"/>
                <w:szCs w:val="21"/>
              </w:rPr>
            </w:pPr>
            <w:r>
              <w:rPr>
                <w:rFonts w:hint="eastAsia" w:ascii="宋体"/>
                <w:szCs w:val="21"/>
              </w:rPr>
              <w:t>①F1、F2、F3分别为技术部分、服务及信誉部分、最后报价3项评分因素的汇总得分；</w:t>
            </w:r>
          </w:p>
          <w:p>
            <w:pPr>
              <w:rPr>
                <w:rFonts w:ascii="宋体"/>
                <w:szCs w:val="21"/>
              </w:rPr>
            </w:pPr>
            <w:r>
              <w:rPr>
                <w:rFonts w:hint="eastAsia" w:ascii="宋体"/>
                <w:szCs w:val="21"/>
              </w:rPr>
              <w:t>②A1、A2、A3分别为3项评分因素所占的权重（A1＋A2＋A3＝1）。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634" w:type="dxa"/>
            <w:gridSpan w:val="2"/>
            <w:vMerge w:val="continue"/>
            <w:vAlign w:val="center"/>
          </w:tcPr>
          <w:p/>
        </w:tc>
        <w:tc>
          <w:tcPr>
            <w:tcW w:w="1397" w:type="dxa"/>
            <w:vMerge w:val="continue"/>
            <w:vAlign w:val="center"/>
          </w:tcPr>
          <w:p/>
        </w:tc>
        <w:tc>
          <w:tcPr>
            <w:tcW w:w="6265" w:type="dxa"/>
            <w:vAlign w:val="center"/>
          </w:tcPr>
          <w:p>
            <w:pPr>
              <w:rPr>
                <w:rFonts w:ascii="宋体"/>
                <w:szCs w:val="21"/>
                <w:highlight w:val="none"/>
              </w:rPr>
            </w:pPr>
            <w:r>
              <w:rPr>
                <w:rFonts w:hint="eastAsia" w:ascii="宋体"/>
                <w:szCs w:val="21"/>
              </w:rPr>
              <w:t>技术部分F1：100分，权</w:t>
            </w:r>
            <w:r>
              <w:rPr>
                <w:rFonts w:hint="eastAsia" w:ascii="宋体"/>
                <w:szCs w:val="21"/>
                <w:highlight w:val="none"/>
              </w:rPr>
              <w:t>重A1为</w:t>
            </w:r>
            <w:r>
              <w:rPr>
                <w:rFonts w:hint="eastAsia" w:ascii="宋体"/>
                <w:szCs w:val="21"/>
                <w:highlight w:val="none"/>
                <w:u w:val="single"/>
              </w:rPr>
              <w:t xml:space="preserve"> 0.</w:t>
            </w:r>
            <w:r>
              <w:rPr>
                <w:rFonts w:hint="eastAsia" w:ascii="宋体"/>
                <w:szCs w:val="21"/>
                <w:highlight w:val="none"/>
                <w:u w:val="single"/>
                <w:lang w:val="en-US" w:eastAsia="zh-CN"/>
              </w:rPr>
              <w:t>6</w:t>
            </w:r>
            <w:r>
              <w:rPr>
                <w:rFonts w:hint="eastAsia" w:ascii="宋体"/>
                <w:szCs w:val="21"/>
                <w:highlight w:val="none"/>
              </w:rPr>
              <w:t>。</w:t>
            </w:r>
          </w:p>
          <w:p>
            <w:pPr>
              <w:rPr>
                <w:rFonts w:ascii="宋体"/>
                <w:szCs w:val="21"/>
                <w:highlight w:val="none"/>
              </w:rPr>
            </w:pPr>
            <w:r>
              <w:rPr>
                <w:rFonts w:hint="eastAsia" w:ascii="宋体"/>
                <w:szCs w:val="21"/>
                <w:highlight w:val="none"/>
              </w:rPr>
              <w:t>服务及信誉部分F2：100分，权重A2为</w:t>
            </w:r>
            <w:r>
              <w:rPr>
                <w:rFonts w:hint="eastAsia" w:ascii="宋体"/>
                <w:szCs w:val="21"/>
                <w:highlight w:val="none"/>
                <w:u w:val="single"/>
              </w:rPr>
              <w:t xml:space="preserve"> 0.</w:t>
            </w:r>
            <w:r>
              <w:rPr>
                <w:rFonts w:hint="eastAsia" w:ascii="宋体"/>
                <w:szCs w:val="21"/>
                <w:highlight w:val="none"/>
                <w:u w:val="single"/>
                <w:lang w:val="en-US" w:eastAsia="zh-CN"/>
              </w:rPr>
              <w:t>3</w:t>
            </w:r>
            <w:r>
              <w:rPr>
                <w:rFonts w:hint="eastAsia" w:ascii="宋体"/>
                <w:szCs w:val="21"/>
                <w:highlight w:val="none"/>
              </w:rPr>
              <w:t>。</w:t>
            </w:r>
          </w:p>
          <w:p>
            <w:pPr>
              <w:rPr>
                <w:rFonts w:hint="eastAsia" w:ascii="宋体" w:eastAsia="宋体"/>
                <w:szCs w:val="21"/>
                <w:highlight w:val="none"/>
                <w:lang w:eastAsia="zh-CN"/>
              </w:rPr>
            </w:pPr>
            <w:r>
              <w:rPr>
                <w:rFonts w:hint="eastAsia" w:ascii="宋体"/>
                <w:szCs w:val="21"/>
                <w:highlight w:val="none"/>
              </w:rPr>
              <w:t>最后报价F3：100分，权重A3为</w:t>
            </w:r>
            <w:r>
              <w:rPr>
                <w:rFonts w:hint="eastAsia" w:ascii="宋体"/>
                <w:szCs w:val="21"/>
                <w:highlight w:val="none"/>
                <w:u w:val="single"/>
              </w:rPr>
              <w:t xml:space="preserve"> 0.</w:t>
            </w:r>
            <w:r>
              <w:rPr>
                <w:rFonts w:hint="eastAsia" w:ascii="宋体"/>
                <w:szCs w:val="21"/>
                <w:highlight w:val="none"/>
                <w:u w:val="single"/>
                <w:lang w:val="en-US" w:eastAsia="zh-CN"/>
              </w:rPr>
              <w:t>1</w:t>
            </w:r>
          </w:p>
          <w:p/>
        </w:tc>
      </w:tr>
    </w:tbl>
    <w:p/>
    <w:p>
      <w:pPr>
        <w:widowControl/>
        <w:jc w:val="left"/>
      </w:pPr>
      <w:r>
        <w:br w:type="page"/>
      </w:r>
    </w:p>
    <w:p/>
    <w:tbl>
      <w:tblPr>
        <w:tblStyle w:val="32"/>
        <w:tblW w:w="92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817"/>
        <w:gridCol w:w="2439"/>
        <w:gridCol w:w="522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restart"/>
            <w:tcBorders>
              <w:top w:val="single" w:color="auto" w:sz="12" w:space="0"/>
              <w:right w:val="single" w:color="auto" w:sz="4" w:space="0"/>
            </w:tcBorders>
            <w:shd w:val="clear" w:color="auto" w:fill="auto"/>
            <w:vAlign w:val="center"/>
          </w:tcPr>
          <w:p>
            <w:pPr>
              <w:jc w:val="center"/>
              <w:rPr>
                <w:rFonts w:ascii="宋体"/>
              </w:rPr>
            </w:pPr>
            <w:r>
              <w:rPr>
                <w:rFonts w:hint="eastAsia" w:ascii="宋体"/>
              </w:rPr>
              <w:t>2.3.2</w:t>
            </w:r>
          </w:p>
          <w:p>
            <w:pPr>
              <w:jc w:val="center"/>
              <w:rPr>
                <w:rFonts w:ascii="宋体"/>
              </w:rPr>
            </w:pPr>
            <w:r>
              <w:rPr>
                <w:rFonts w:hint="eastAsia" w:ascii="宋体"/>
              </w:rPr>
              <w:t>（1）</w:t>
            </w:r>
          </w:p>
        </w:tc>
        <w:tc>
          <w:tcPr>
            <w:tcW w:w="817" w:type="dxa"/>
            <w:vMerge w:val="restart"/>
            <w:tcBorders>
              <w:top w:val="single" w:color="auto" w:sz="12" w:space="0"/>
              <w:left w:val="single" w:color="auto" w:sz="4" w:space="0"/>
            </w:tcBorders>
            <w:shd w:val="clear" w:color="auto" w:fill="auto"/>
            <w:vAlign w:val="center"/>
          </w:tcPr>
          <w:p>
            <w:pPr>
              <w:jc w:val="center"/>
              <w:rPr>
                <w:rFonts w:ascii="宋体" w:hAnsi="宋体"/>
                <w:szCs w:val="21"/>
              </w:rPr>
            </w:pPr>
            <w:r>
              <w:rPr>
                <w:rFonts w:hint="eastAsia" w:ascii="宋体" w:hAnsi="宋体"/>
                <w:szCs w:val="21"/>
              </w:rPr>
              <w:t>技术部分</w:t>
            </w:r>
          </w:p>
          <w:p>
            <w:pPr>
              <w:jc w:val="center"/>
              <w:rPr>
                <w:rFonts w:ascii="宋体" w:hAnsi="宋体"/>
                <w:szCs w:val="21"/>
              </w:rPr>
            </w:pPr>
            <w:r>
              <w:rPr>
                <w:rFonts w:hint="eastAsia" w:ascii="宋体" w:hAnsi="宋体"/>
                <w:szCs w:val="21"/>
              </w:rPr>
              <w:t>F1</w:t>
            </w:r>
          </w:p>
          <w:p>
            <w:pPr>
              <w:jc w:val="center"/>
              <w:rPr>
                <w:rFonts w:ascii="宋体" w:hAnsi="宋体"/>
                <w:szCs w:val="21"/>
              </w:rPr>
            </w:pPr>
            <w:r>
              <w:rPr>
                <w:rFonts w:hint="eastAsia" w:ascii="宋体" w:hAnsi="宋体"/>
                <w:szCs w:val="21"/>
              </w:rPr>
              <w:t>评分标准</w:t>
            </w:r>
          </w:p>
        </w:tc>
        <w:tc>
          <w:tcPr>
            <w:tcW w:w="2439" w:type="dxa"/>
            <w:tcBorders>
              <w:bottom w:val="single" w:color="auto" w:sz="4" w:space="0"/>
            </w:tcBorders>
            <w:vAlign w:val="center"/>
          </w:tcPr>
          <w:p>
            <w:pPr>
              <w:jc w:val="center"/>
              <w:rPr>
                <w:rFonts w:ascii="宋体" w:hAnsi="宋体"/>
                <w:szCs w:val="21"/>
              </w:rPr>
            </w:pPr>
            <w:r>
              <w:rPr>
                <w:rFonts w:hint="eastAsia" w:ascii="宋体" w:hAnsi="宋体"/>
                <w:szCs w:val="21"/>
              </w:rPr>
              <w:t>内容完整性和编制水平</w:t>
            </w:r>
          </w:p>
          <w:p>
            <w:pPr>
              <w:jc w:val="center"/>
              <w:rPr>
                <w:rFonts w:ascii="宋体" w:hAnsi="宋体"/>
                <w:szCs w:val="21"/>
              </w:rPr>
            </w:pPr>
            <w:r>
              <w:rPr>
                <w:rFonts w:hint="eastAsia" w:ascii="宋体" w:hAnsi="宋体"/>
                <w:szCs w:val="21"/>
              </w:rPr>
              <w:t>（满分10分）</w:t>
            </w:r>
          </w:p>
        </w:tc>
        <w:tc>
          <w:tcPr>
            <w:tcW w:w="5223" w:type="dxa"/>
            <w:vAlign w:val="center"/>
          </w:tcPr>
          <w:p>
            <w:pPr>
              <w:snapToGrid w:val="0"/>
              <w:spacing w:line="300" w:lineRule="exact"/>
              <w:rPr>
                <w:rFonts w:ascii="宋体" w:hAnsi="宋体"/>
                <w:szCs w:val="21"/>
              </w:rPr>
            </w:pPr>
            <w:r>
              <w:rPr>
                <w:rFonts w:hint="eastAsia" w:ascii="宋体" w:hAnsi="宋体"/>
                <w:szCs w:val="21"/>
              </w:rPr>
              <w:t>第一个档次（</w:t>
            </w:r>
            <w:r>
              <w:rPr>
                <w:rFonts w:ascii="宋体" w:hAnsi="宋体"/>
                <w:szCs w:val="21"/>
              </w:rPr>
              <w:t>10-9</w:t>
            </w:r>
            <w:r>
              <w:rPr>
                <w:rFonts w:hint="eastAsia" w:ascii="宋体" w:hAnsi="宋体"/>
                <w:szCs w:val="21"/>
              </w:rPr>
              <w:t>分）：</w:t>
            </w:r>
            <w:r>
              <w:rPr>
                <w:rFonts w:hint="eastAsia"/>
                <w:bCs/>
              </w:rPr>
              <w:t>响应</w:t>
            </w:r>
            <w:r>
              <w:rPr>
                <w:rFonts w:hint="eastAsia" w:ascii="宋体" w:hAnsi="宋体"/>
                <w:szCs w:val="21"/>
              </w:rPr>
              <w:t>文件内容完整、真实、资料齐全、严谨周密，编制水平优（文件层次分明，章节清晰，编码完整，不掉页、缺页、错页，无含义不明确、同类问题表述不一致情况，无明显文字和计算错误的内容等）；</w:t>
            </w:r>
          </w:p>
          <w:p>
            <w:pPr>
              <w:snapToGrid w:val="0"/>
              <w:spacing w:line="300" w:lineRule="exact"/>
              <w:rPr>
                <w:rFonts w:ascii="宋体" w:hAnsi="宋体"/>
                <w:szCs w:val="21"/>
              </w:rPr>
            </w:pPr>
            <w:r>
              <w:rPr>
                <w:rFonts w:hint="eastAsia" w:ascii="宋体" w:hAnsi="宋体"/>
                <w:szCs w:val="21"/>
              </w:rPr>
              <w:t>第二个档次（</w:t>
            </w:r>
            <w:r>
              <w:rPr>
                <w:rFonts w:ascii="宋体" w:hAnsi="宋体"/>
                <w:szCs w:val="21"/>
              </w:rPr>
              <w:t>8-7</w:t>
            </w:r>
            <w:r>
              <w:rPr>
                <w:rFonts w:hint="eastAsia" w:ascii="宋体" w:hAnsi="宋体"/>
                <w:szCs w:val="21"/>
              </w:rPr>
              <w:t>分）：</w:t>
            </w:r>
            <w:r>
              <w:rPr>
                <w:rFonts w:hint="eastAsia"/>
                <w:bCs/>
              </w:rPr>
              <w:t>响应</w:t>
            </w:r>
            <w:r>
              <w:rPr>
                <w:rFonts w:hint="eastAsia" w:ascii="宋体" w:hAnsi="宋体"/>
                <w:szCs w:val="21"/>
              </w:rPr>
              <w:t>文件内容完整、真实、齐全，编制水平良好；</w:t>
            </w:r>
          </w:p>
          <w:p>
            <w:pPr>
              <w:snapToGrid w:val="0"/>
              <w:spacing w:line="300" w:lineRule="exact"/>
              <w:rPr>
                <w:rFonts w:ascii="宋体" w:hAnsi="宋体"/>
                <w:szCs w:val="21"/>
              </w:rPr>
            </w:pPr>
            <w:r>
              <w:rPr>
                <w:rFonts w:hint="eastAsia" w:ascii="宋体" w:hAnsi="宋体"/>
                <w:szCs w:val="21"/>
              </w:rPr>
              <w:t>第三个档次（</w:t>
            </w:r>
            <w:r>
              <w:rPr>
                <w:rFonts w:ascii="宋体" w:hAnsi="宋体"/>
                <w:szCs w:val="21"/>
              </w:rPr>
              <w:t>6-4</w:t>
            </w:r>
            <w:r>
              <w:rPr>
                <w:rFonts w:hint="eastAsia" w:ascii="宋体" w:hAnsi="宋体"/>
                <w:szCs w:val="21"/>
              </w:rPr>
              <w:t>分）：</w:t>
            </w:r>
            <w:r>
              <w:rPr>
                <w:rFonts w:hint="eastAsia"/>
                <w:bCs/>
              </w:rPr>
              <w:t>响应</w:t>
            </w:r>
            <w:r>
              <w:rPr>
                <w:rFonts w:hint="eastAsia" w:ascii="宋体" w:hAnsi="宋体"/>
                <w:szCs w:val="21"/>
              </w:rPr>
              <w:t>文件内容基本完整，编制水平一般；</w:t>
            </w:r>
          </w:p>
          <w:p>
            <w:pPr>
              <w:snapToGrid w:val="0"/>
              <w:spacing w:line="300" w:lineRule="exact"/>
              <w:rPr>
                <w:rFonts w:ascii="宋体" w:hAnsi="宋体"/>
                <w:szCs w:val="21"/>
              </w:rPr>
            </w:pPr>
            <w:r>
              <w:rPr>
                <w:rFonts w:hint="eastAsia" w:ascii="宋体" w:hAnsi="宋体"/>
                <w:szCs w:val="21"/>
              </w:rPr>
              <w:t>第四个档次（</w:t>
            </w:r>
            <w:r>
              <w:rPr>
                <w:rFonts w:ascii="宋体" w:hAnsi="宋体"/>
                <w:szCs w:val="21"/>
              </w:rPr>
              <w:t>3-0</w:t>
            </w:r>
            <w:r>
              <w:rPr>
                <w:rFonts w:hint="eastAsia" w:ascii="宋体" w:hAnsi="宋体"/>
                <w:szCs w:val="21"/>
              </w:rPr>
              <w:t>分）：</w:t>
            </w:r>
            <w:r>
              <w:rPr>
                <w:rFonts w:hint="eastAsia"/>
                <w:bCs/>
              </w:rPr>
              <w:t>响应</w:t>
            </w:r>
            <w:r>
              <w:rPr>
                <w:rFonts w:hint="eastAsia" w:ascii="宋体" w:hAnsi="宋体"/>
                <w:szCs w:val="21"/>
              </w:rPr>
              <w:t>文件内容不完整、不真实，编制差。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29" w:hRule="atLeast"/>
          <w:jc w:val="center"/>
        </w:trPr>
        <w:tc>
          <w:tcPr>
            <w:tcW w:w="817" w:type="dxa"/>
            <w:vMerge w:val="continue"/>
            <w:tcBorders>
              <w:right w:val="single" w:color="auto" w:sz="4" w:space="0"/>
            </w:tcBorders>
            <w:shd w:val="clear" w:color="auto" w:fill="auto"/>
            <w:vAlign w:val="center"/>
          </w:tcPr>
          <w:p/>
        </w:tc>
        <w:tc>
          <w:tcPr>
            <w:tcW w:w="817" w:type="dxa"/>
            <w:vMerge w:val="continue"/>
            <w:tcBorders>
              <w:left w:val="single" w:color="auto" w:sz="4" w:space="0"/>
            </w:tcBorders>
            <w:shd w:val="clear" w:color="auto" w:fill="auto"/>
            <w:vAlign w:val="center"/>
          </w:tcPr>
          <w:p>
            <w:pPr>
              <w:rPr>
                <w:rFonts w:ascii="宋体" w:hAnsi="宋体"/>
              </w:rPr>
            </w:pPr>
          </w:p>
        </w:tc>
        <w:tc>
          <w:tcPr>
            <w:tcW w:w="2439" w:type="dxa"/>
            <w:tcBorders>
              <w:bottom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服务方案</w:t>
            </w:r>
          </w:p>
          <w:p>
            <w:pPr>
              <w:jc w:val="center"/>
              <w:rPr>
                <w:rFonts w:ascii="宋体" w:hAnsi="宋体"/>
                <w:szCs w:val="21"/>
              </w:rPr>
            </w:pPr>
            <w:r>
              <w:rPr>
                <w:rFonts w:hint="eastAsia" w:ascii="宋体" w:hAnsi="宋体" w:cs="宋体"/>
                <w:color w:val="000000"/>
                <w:szCs w:val="21"/>
              </w:rPr>
              <w:t>（满分</w:t>
            </w:r>
            <w:r>
              <w:rPr>
                <w:rFonts w:hint="eastAsia" w:ascii="宋体" w:hAnsi="宋体" w:cs="宋体"/>
                <w:color w:val="000000"/>
                <w:szCs w:val="21"/>
                <w:lang w:val="en-US" w:eastAsia="zh-CN"/>
              </w:rPr>
              <w:t>40</w:t>
            </w:r>
            <w:r>
              <w:rPr>
                <w:rFonts w:hint="eastAsia" w:ascii="宋体" w:hAnsi="宋体" w:cs="宋体"/>
                <w:color w:val="000000"/>
                <w:szCs w:val="21"/>
              </w:rPr>
              <w:t>分）</w:t>
            </w:r>
          </w:p>
        </w:tc>
        <w:tc>
          <w:tcPr>
            <w:tcW w:w="5223" w:type="dxa"/>
            <w:vAlign w:val="center"/>
          </w:tcPr>
          <w:p>
            <w:pPr>
              <w:snapToGrid w:val="0"/>
              <w:spacing w:line="300" w:lineRule="exact"/>
              <w:rPr>
                <w:rFonts w:ascii="宋体" w:hAnsi="宋体" w:cs="宋体"/>
                <w:color w:val="000000"/>
                <w:szCs w:val="21"/>
              </w:rPr>
            </w:pPr>
            <w:r>
              <w:rPr>
                <w:rFonts w:hint="eastAsia" w:ascii="宋体" w:hAnsi="宋体" w:cs="宋体"/>
                <w:color w:val="000000"/>
                <w:szCs w:val="21"/>
              </w:rPr>
              <w:t>第一个档次（</w:t>
            </w:r>
            <w:r>
              <w:rPr>
                <w:rFonts w:hint="eastAsia" w:ascii="宋体" w:hAnsi="宋体" w:cs="宋体"/>
                <w:color w:val="000000"/>
                <w:szCs w:val="21"/>
                <w:lang w:val="en-US" w:eastAsia="zh-CN"/>
              </w:rPr>
              <w:t>40-35</w:t>
            </w:r>
            <w:r>
              <w:rPr>
                <w:rFonts w:hint="eastAsia" w:ascii="宋体" w:hAnsi="宋体" w:cs="宋体"/>
                <w:color w:val="000000"/>
                <w:szCs w:val="21"/>
                <w:lang w:eastAsia="zh-CN"/>
              </w:rPr>
              <w:t>分</w:t>
            </w:r>
            <w:r>
              <w:rPr>
                <w:rFonts w:hint="eastAsia" w:ascii="宋体" w:hAnsi="宋体" w:cs="宋体"/>
                <w:color w:val="000000"/>
                <w:szCs w:val="21"/>
              </w:rPr>
              <w:t>）：服务方案响应性优，满足本项目所需的服务内容，服务方案完整可行，内容规范，标准化程度高；</w:t>
            </w:r>
            <w:r>
              <w:rPr>
                <w:rFonts w:hint="eastAsia"/>
                <w:lang w:eastAsia="zh-CN"/>
              </w:rPr>
              <w:t>能够</w:t>
            </w:r>
            <w:r>
              <w:rPr>
                <w:rFonts w:hint="eastAsia" w:ascii="宋体" w:hAnsi="宋体" w:cs="宋体"/>
                <w:color w:val="000000"/>
                <w:szCs w:val="21"/>
              </w:rPr>
              <w:t>充分考虑用户需求，服务方案针对性及操作性高；全面分析用户现状、实施要求，内容阐述充分；服务方案针对各服务区域的特点进行了具体分析。</w:t>
            </w:r>
          </w:p>
          <w:p>
            <w:pPr>
              <w:snapToGrid w:val="0"/>
              <w:spacing w:line="300" w:lineRule="exact"/>
              <w:rPr>
                <w:rFonts w:ascii="宋体" w:hAnsi="宋体" w:cs="宋体"/>
                <w:color w:val="000000"/>
                <w:szCs w:val="21"/>
              </w:rPr>
            </w:pPr>
            <w:r>
              <w:rPr>
                <w:rFonts w:hint="eastAsia" w:ascii="宋体" w:hAnsi="宋体" w:cs="宋体"/>
                <w:color w:val="000000"/>
                <w:szCs w:val="21"/>
              </w:rPr>
              <w:t>第二个档次（</w:t>
            </w:r>
            <w:r>
              <w:rPr>
                <w:rFonts w:hint="eastAsia" w:ascii="宋体" w:hAnsi="宋体" w:cs="宋体"/>
                <w:color w:val="000000"/>
                <w:szCs w:val="21"/>
                <w:lang w:val="en-US" w:eastAsia="zh-CN"/>
              </w:rPr>
              <w:t>34-29</w:t>
            </w:r>
            <w:r>
              <w:rPr>
                <w:rFonts w:hint="eastAsia" w:ascii="宋体" w:hAnsi="宋体" w:cs="宋体"/>
                <w:color w:val="000000"/>
                <w:szCs w:val="21"/>
              </w:rPr>
              <w:t>分）：服务方案响应性较好，满足本项目所需的服务内容，服务方案较为完整可行，内容规范，标准化程度较高；考虑用户需求，服务方案针对性及操作性较高；分析用户现状、实施要求，内容阐述</w:t>
            </w:r>
            <w:r>
              <w:rPr>
                <w:rFonts w:hint="eastAsia" w:ascii="宋体" w:hAnsi="宋体" w:cs="宋体"/>
                <w:color w:val="000000"/>
                <w:szCs w:val="21"/>
                <w:lang w:eastAsia="zh-CN"/>
              </w:rPr>
              <w:t>不够</w:t>
            </w:r>
            <w:r>
              <w:rPr>
                <w:rFonts w:hint="eastAsia" w:ascii="宋体" w:hAnsi="宋体" w:cs="宋体"/>
                <w:color w:val="000000"/>
                <w:szCs w:val="21"/>
              </w:rPr>
              <w:t>充分；服务方案针对各服务区域的特点进行了较为具体分析。</w:t>
            </w:r>
          </w:p>
          <w:p>
            <w:pPr>
              <w:snapToGrid w:val="0"/>
              <w:spacing w:line="300" w:lineRule="exact"/>
              <w:rPr>
                <w:rFonts w:ascii="宋体" w:hAnsi="宋体" w:cs="宋体"/>
                <w:color w:val="000000"/>
                <w:szCs w:val="21"/>
              </w:rPr>
            </w:pPr>
            <w:r>
              <w:rPr>
                <w:rFonts w:hint="eastAsia" w:ascii="宋体" w:hAnsi="宋体" w:cs="宋体"/>
                <w:color w:val="000000"/>
                <w:szCs w:val="21"/>
              </w:rPr>
              <w:t>第三个档次（</w:t>
            </w:r>
            <w:r>
              <w:rPr>
                <w:rFonts w:hint="eastAsia" w:ascii="宋体" w:hAnsi="宋体" w:cs="宋体"/>
                <w:color w:val="000000"/>
                <w:szCs w:val="21"/>
                <w:lang w:val="en-US" w:eastAsia="zh-CN"/>
              </w:rPr>
              <w:t>28-20</w:t>
            </w:r>
            <w:r>
              <w:rPr>
                <w:rFonts w:hint="eastAsia" w:ascii="宋体" w:hAnsi="宋体" w:cs="宋体"/>
                <w:color w:val="000000"/>
                <w:szCs w:val="21"/>
              </w:rPr>
              <w:t>分）：服务方案响应性一般；基本满足本项目所需的服务内容，服务方案完整性一般，内容规范性及标准化程度一般；考虑用户需求不足，服务方案针对性及操作性一般；分析用户现状、实施要求不足，内容阐述一般；服务方案针对各服务区域的特点具体分析不足。</w:t>
            </w:r>
          </w:p>
          <w:p>
            <w:pPr>
              <w:rPr>
                <w:rFonts w:ascii="宋体" w:hAnsi="宋体"/>
                <w:szCs w:val="21"/>
              </w:rPr>
            </w:pPr>
            <w:r>
              <w:rPr>
                <w:rFonts w:hint="eastAsia" w:ascii="宋体" w:hAnsi="宋体" w:cs="宋体"/>
                <w:color w:val="000000"/>
                <w:szCs w:val="21"/>
              </w:rPr>
              <w:t>第四个档次（</w:t>
            </w:r>
            <w:r>
              <w:rPr>
                <w:rFonts w:hint="eastAsia" w:ascii="宋体" w:hAnsi="宋体" w:cs="宋体"/>
                <w:color w:val="000000"/>
                <w:szCs w:val="21"/>
                <w:lang w:val="en-US" w:eastAsia="zh-CN"/>
              </w:rPr>
              <w:t>19-0</w:t>
            </w:r>
            <w:r>
              <w:rPr>
                <w:rFonts w:hint="eastAsia" w:ascii="宋体" w:hAnsi="宋体" w:cs="宋体"/>
                <w:color w:val="000000"/>
                <w:szCs w:val="21"/>
              </w:rPr>
              <w:t>分）： 服务方案不满足磋商文件要求。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tcBorders>
              <w:right w:val="single" w:color="auto" w:sz="4" w:space="0"/>
            </w:tcBorders>
            <w:shd w:val="clear" w:color="auto" w:fill="auto"/>
            <w:vAlign w:val="center"/>
          </w:tcPr>
          <w:p/>
        </w:tc>
        <w:tc>
          <w:tcPr>
            <w:tcW w:w="817" w:type="dxa"/>
            <w:vMerge w:val="continue"/>
            <w:tcBorders>
              <w:left w:val="single" w:color="auto" w:sz="4" w:space="0"/>
            </w:tcBorders>
            <w:shd w:val="clear" w:color="auto" w:fill="auto"/>
            <w:vAlign w:val="center"/>
          </w:tcPr>
          <w:p>
            <w:pPr>
              <w:rPr>
                <w:rFonts w:ascii="宋体" w:hAnsi="宋体"/>
              </w:rPr>
            </w:pPr>
          </w:p>
        </w:tc>
        <w:tc>
          <w:tcPr>
            <w:tcW w:w="2439" w:type="dxa"/>
            <w:tcBorders>
              <w:bottom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项目组织计划</w:t>
            </w:r>
          </w:p>
          <w:p>
            <w:pPr>
              <w:spacing w:line="300" w:lineRule="exact"/>
              <w:jc w:val="center"/>
              <w:rPr>
                <w:rFonts w:ascii="宋体" w:hAnsi="宋体"/>
                <w:szCs w:val="21"/>
              </w:rPr>
            </w:pPr>
            <w:r>
              <w:rPr>
                <w:rFonts w:hint="eastAsia" w:ascii="宋体" w:hAnsi="宋体" w:cs="宋体"/>
                <w:color w:val="000000"/>
              </w:rPr>
              <w:t>（满分</w:t>
            </w:r>
            <w:r>
              <w:rPr>
                <w:rFonts w:hint="eastAsia" w:ascii="宋体" w:hAnsi="宋体" w:cs="宋体"/>
                <w:color w:val="000000"/>
                <w:lang w:val="en-US" w:eastAsia="zh-CN"/>
              </w:rPr>
              <w:t>15</w:t>
            </w:r>
            <w:r>
              <w:rPr>
                <w:rFonts w:hint="eastAsia" w:ascii="宋体" w:hAnsi="宋体" w:cs="宋体"/>
                <w:color w:val="000000"/>
              </w:rPr>
              <w:t>分）</w:t>
            </w:r>
          </w:p>
        </w:tc>
        <w:tc>
          <w:tcPr>
            <w:tcW w:w="5223" w:type="dxa"/>
            <w:vAlign w:val="center"/>
          </w:tcPr>
          <w:p>
            <w:pPr>
              <w:snapToGrid w:val="0"/>
              <w:spacing w:line="300" w:lineRule="exact"/>
              <w:rPr>
                <w:rFonts w:ascii="宋体" w:hAnsi="宋体" w:cs="宋体"/>
                <w:color w:val="000000"/>
                <w:szCs w:val="21"/>
              </w:rPr>
            </w:pPr>
            <w:r>
              <w:rPr>
                <w:rFonts w:hint="eastAsia" w:ascii="宋体" w:hAnsi="宋体" w:cs="宋体"/>
                <w:color w:val="000000"/>
                <w:szCs w:val="21"/>
              </w:rPr>
              <w:t>第一个档次（</w:t>
            </w:r>
            <w:r>
              <w:rPr>
                <w:rFonts w:hint="eastAsia" w:ascii="宋体" w:hAnsi="宋体" w:cs="宋体"/>
                <w:color w:val="000000"/>
                <w:szCs w:val="21"/>
                <w:lang w:val="en-US" w:eastAsia="zh-CN"/>
              </w:rPr>
              <w:t>15-12</w:t>
            </w:r>
            <w:r>
              <w:rPr>
                <w:rFonts w:hint="eastAsia" w:ascii="宋体" w:hAnsi="宋体" w:cs="宋体"/>
                <w:color w:val="000000"/>
                <w:szCs w:val="21"/>
              </w:rPr>
              <w:t>分）：项目组织计划优，配备了组织清晰、架构合理的项目管理机构，且突出本项目特点及实际需求；提供了保障项目实施行之有效的管理办法；工作人员职责明确合理；项目管理团队有具体的规章制度及管理实施细则，符合本项目特点及实际需求。</w:t>
            </w:r>
          </w:p>
          <w:p>
            <w:pPr>
              <w:snapToGrid w:val="0"/>
              <w:spacing w:line="300" w:lineRule="exact"/>
              <w:rPr>
                <w:rFonts w:ascii="宋体" w:hAnsi="宋体" w:cs="宋体"/>
                <w:color w:val="000000"/>
                <w:szCs w:val="21"/>
              </w:rPr>
            </w:pPr>
            <w:r>
              <w:rPr>
                <w:rFonts w:hint="eastAsia" w:ascii="宋体" w:hAnsi="宋体" w:cs="宋体"/>
                <w:color w:val="000000"/>
                <w:szCs w:val="21"/>
              </w:rPr>
              <w:t>第二个档次（</w:t>
            </w:r>
            <w:r>
              <w:rPr>
                <w:rFonts w:hint="eastAsia" w:ascii="宋体" w:hAnsi="宋体" w:cs="宋体"/>
                <w:color w:val="000000"/>
                <w:szCs w:val="21"/>
                <w:lang w:val="en-US" w:eastAsia="zh-CN"/>
              </w:rPr>
              <w:t>11-8</w:t>
            </w:r>
            <w:r>
              <w:rPr>
                <w:rFonts w:hint="eastAsia" w:ascii="宋体" w:hAnsi="宋体" w:cs="宋体"/>
                <w:color w:val="000000"/>
                <w:szCs w:val="21"/>
              </w:rPr>
              <w:t>分）：项目组织计划良好，项目组织计划较好，配备了组织清晰、架构合理的项目管理机构，但未突出本项目特点及实际需求；提供了保障项目实施管理办法；工作人员职责较为合理；项目管理团队有具体的规章制度及管理实施细则。</w:t>
            </w:r>
          </w:p>
          <w:p>
            <w:pPr>
              <w:snapToGrid w:val="0"/>
              <w:spacing w:line="300" w:lineRule="exact"/>
              <w:rPr>
                <w:rFonts w:ascii="宋体" w:hAnsi="宋体" w:cs="宋体"/>
                <w:color w:val="000000"/>
                <w:szCs w:val="21"/>
              </w:rPr>
            </w:pPr>
            <w:r>
              <w:rPr>
                <w:rFonts w:hint="eastAsia" w:ascii="宋体" w:hAnsi="宋体" w:cs="宋体"/>
                <w:color w:val="000000"/>
                <w:szCs w:val="21"/>
              </w:rPr>
              <w:t>第三个档次（</w:t>
            </w:r>
            <w:r>
              <w:rPr>
                <w:rFonts w:hint="eastAsia" w:ascii="宋体" w:hAnsi="宋体" w:cs="宋体"/>
                <w:color w:val="000000"/>
                <w:szCs w:val="21"/>
                <w:lang w:val="en-US" w:eastAsia="zh-CN"/>
              </w:rPr>
              <w:t>7-4</w:t>
            </w:r>
            <w:r>
              <w:rPr>
                <w:rFonts w:hint="eastAsia" w:ascii="宋体" w:hAnsi="宋体" w:cs="宋体"/>
                <w:color w:val="000000"/>
                <w:szCs w:val="21"/>
              </w:rPr>
              <w:t>分）：项目组织计划一般，有项目组织计划，但项目管理机构的组织架构配备的不够清晰和合理；保障项目实的管理办法针对性不足；工作人员职责明确合理性不足；项目管理团队具体的规章制度及管理实施细则不足。</w:t>
            </w:r>
          </w:p>
          <w:p>
            <w:pPr>
              <w:spacing w:line="300" w:lineRule="exact"/>
              <w:rPr>
                <w:rFonts w:ascii="宋体" w:hAnsi="宋体"/>
                <w:szCs w:val="21"/>
              </w:rPr>
            </w:pPr>
            <w:r>
              <w:rPr>
                <w:rFonts w:hint="eastAsia" w:ascii="宋体" w:hAnsi="宋体" w:cs="宋体"/>
                <w:color w:val="000000"/>
                <w:szCs w:val="21"/>
              </w:rPr>
              <w:t>第四个档次（</w:t>
            </w:r>
            <w:r>
              <w:rPr>
                <w:rFonts w:hint="eastAsia" w:ascii="宋体" w:hAnsi="宋体" w:cs="宋体"/>
                <w:color w:val="000000"/>
                <w:szCs w:val="21"/>
                <w:lang w:val="en-US" w:eastAsia="zh-CN"/>
              </w:rPr>
              <w:t>3-0</w:t>
            </w:r>
            <w:r>
              <w:rPr>
                <w:rFonts w:hint="eastAsia" w:ascii="宋体" w:hAnsi="宋体" w:cs="宋体"/>
                <w:color w:val="000000"/>
                <w:szCs w:val="21"/>
              </w:rPr>
              <w:t>分）： 项目组织计划差，不满足磋商文件要求。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tcBorders>
              <w:right w:val="single" w:color="auto" w:sz="4" w:space="0"/>
            </w:tcBorders>
            <w:shd w:val="clear" w:color="auto" w:fill="auto"/>
            <w:vAlign w:val="center"/>
          </w:tcPr>
          <w:p/>
        </w:tc>
        <w:tc>
          <w:tcPr>
            <w:tcW w:w="817" w:type="dxa"/>
            <w:vMerge w:val="continue"/>
            <w:tcBorders>
              <w:left w:val="single" w:color="auto" w:sz="4" w:space="0"/>
            </w:tcBorders>
            <w:shd w:val="clear" w:color="auto" w:fill="auto"/>
            <w:vAlign w:val="center"/>
          </w:tcPr>
          <w:p>
            <w:pPr>
              <w:rPr>
                <w:rFonts w:ascii="宋体" w:hAnsi="宋体"/>
              </w:rPr>
            </w:pPr>
          </w:p>
        </w:tc>
        <w:tc>
          <w:tcPr>
            <w:tcW w:w="2439" w:type="dxa"/>
            <w:tcBorders>
              <w:bottom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应</w:t>
            </w:r>
            <w:bookmarkStart w:id="343" w:name="_Hlk47709038"/>
            <w:r>
              <w:rPr>
                <w:rFonts w:hint="eastAsia" w:ascii="宋体" w:hAnsi="宋体" w:cs="宋体"/>
                <w:color w:val="000000"/>
                <w:szCs w:val="21"/>
              </w:rPr>
              <w:t>急方案及服务承诺</w:t>
            </w:r>
          </w:p>
          <w:p>
            <w:pPr>
              <w:jc w:val="center"/>
              <w:rPr>
                <w:rFonts w:ascii="宋体" w:hAnsi="宋体"/>
                <w:szCs w:val="21"/>
              </w:rPr>
            </w:pPr>
            <w:r>
              <w:rPr>
                <w:rFonts w:hint="eastAsia" w:ascii="宋体" w:hAnsi="宋体" w:cs="宋体"/>
                <w:color w:val="000000"/>
                <w:szCs w:val="21"/>
              </w:rPr>
              <w:t>（</w:t>
            </w:r>
            <w:bookmarkEnd w:id="343"/>
            <w:r>
              <w:rPr>
                <w:rFonts w:hint="eastAsia" w:ascii="宋体" w:hAnsi="宋体" w:cs="宋体"/>
                <w:color w:val="000000"/>
                <w:szCs w:val="21"/>
              </w:rPr>
              <w:t>满分</w:t>
            </w:r>
            <w:r>
              <w:rPr>
                <w:rFonts w:hint="eastAsia" w:ascii="宋体" w:hAnsi="宋体" w:cs="宋体"/>
                <w:color w:val="000000"/>
                <w:szCs w:val="21"/>
                <w:lang w:val="en-US" w:eastAsia="zh-CN"/>
              </w:rPr>
              <w:t>35</w:t>
            </w:r>
            <w:r>
              <w:rPr>
                <w:rFonts w:hint="eastAsia" w:ascii="宋体" w:hAnsi="宋体" w:cs="宋体"/>
                <w:color w:val="000000"/>
                <w:szCs w:val="21"/>
              </w:rPr>
              <w:t>分）</w:t>
            </w:r>
          </w:p>
        </w:tc>
        <w:tc>
          <w:tcPr>
            <w:tcW w:w="5223" w:type="dxa"/>
            <w:vAlign w:val="center"/>
          </w:tcPr>
          <w:p>
            <w:pPr>
              <w:snapToGrid w:val="0"/>
              <w:spacing w:line="300" w:lineRule="exact"/>
              <w:rPr>
                <w:rFonts w:ascii="宋体" w:hAnsi="宋体" w:cs="宋体"/>
                <w:color w:val="000000"/>
                <w:szCs w:val="21"/>
              </w:rPr>
            </w:pPr>
            <w:r>
              <w:rPr>
                <w:rFonts w:hint="eastAsia" w:ascii="宋体" w:hAnsi="宋体" w:cs="宋体"/>
                <w:color w:val="000000"/>
                <w:szCs w:val="21"/>
              </w:rPr>
              <w:t>第一个档次（</w:t>
            </w:r>
            <w:r>
              <w:rPr>
                <w:rFonts w:hint="eastAsia" w:ascii="宋体" w:hAnsi="宋体" w:cs="宋体"/>
                <w:color w:val="000000"/>
                <w:szCs w:val="21"/>
                <w:lang w:val="en-US" w:eastAsia="zh-CN"/>
              </w:rPr>
              <w:t>35-30</w:t>
            </w:r>
            <w:r>
              <w:rPr>
                <w:rFonts w:hint="eastAsia" w:ascii="宋体" w:hAnsi="宋体" w:cs="宋体"/>
                <w:color w:val="000000"/>
                <w:szCs w:val="21"/>
              </w:rPr>
              <w:t>分）：应急预案内容详实，科学、合理、可行，能够较好的应对突发事件，各项工作安排详实，对本项目有较强的针对性、可行性，服务承诺内容完整、详实、清晰，与其服务质量保证措施紧扣的；</w:t>
            </w:r>
          </w:p>
          <w:p>
            <w:pPr>
              <w:snapToGrid w:val="0"/>
              <w:spacing w:line="300" w:lineRule="exact"/>
              <w:rPr>
                <w:rFonts w:ascii="宋体" w:hAnsi="宋体" w:cs="宋体"/>
                <w:color w:val="000000"/>
                <w:szCs w:val="21"/>
              </w:rPr>
            </w:pPr>
            <w:r>
              <w:rPr>
                <w:rFonts w:hint="eastAsia" w:ascii="宋体" w:hAnsi="宋体" w:cs="宋体"/>
                <w:color w:val="000000"/>
                <w:szCs w:val="21"/>
              </w:rPr>
              <w:t>第二个档次（</w:t>
            </w:r>
            <w:r>
              <w:rPr>
                <w:rFonts w:hint="eastAsia" w:ascii="宋体" w:hAnsi="宋体" w:cs="宋体"/>
                <w:color w:val="000000"/>
                <w:szCs w:val="21"/>
                <w:lang w:val="en-US" w:eastAsia="zh-CN"/>
              </w:rPr>
              <w:t>29-24</w:t>
            </w:r>
            <w:r>
              <w:rPr>
                <w:rFonts w:hint="eastAsia" w:ascii="宋体" w:hAnsi="宋体" w:cs="宋体"/>
                <w:color w:val="000000"/>
                <w:szCs w:val="21"/>
              </w:rPr>
              <w:t>分）：应急预案较完整，方案合理、可行，服务质量保证措施完整，服务承诺良好，内容基本完整，与其服务质量保证措施呼应；</w:t>
            </w:r>
          </w:p>
          <w:p>
            <w:pPr>
              <w:snapToGrid w:val="0"/>
              <w:spacing w:line="300" w:lineRule="exact"/>
              <w:rPr>
                <w:rFonts w:ascii="宋体" w:hAnsi="宋体" w:cs="宋体"/>
                <w:color w:val="000000"/>
                <w:szCs w:val="21"/>
              </w:rPr>
            </w:pPr>
            <w:r>
              <w:rPr>
                <w:rFonts w:hint="eastAsia" w:ascii="宋体" w:hAnsi="宋体" w:cs="宋体"/>
                <w:color w:val="000000"/>
                <w:szCs w:val="21"/>
              </w:rPr>
              <w:t>第三个档次（</w:t>
            </w:r>
            <w:r>
              <w:rPr>
                <w:rFonts w:hint="eastAsia" w:ascii="宋体" w:hAnsi="宋体" w:cs="宋体"/>
                <w:color w:val="000000"/>
                <w:szCs w:val="21"/>
                <w:lang w:val="en-US" w:eastAsia="zh-CN"/>
              </w:rPr>
              <w:t>23-15</w:t>
            </w:r>
            <w:r>
              <w:rPr>
                <w:rFonts w:hint="eastAsia" w:ascii="宋体" w:hAnsi="宋体" w:cs="宋体"/>
                <w:color w:val="000000"/>
                <w:szCs w:val="21"/>
              </w:rPr>
              <w:t>分）：应急预案基本完整，保证措施及承诺一般服务承诺一般，内容基本完整但有夸张性、不实际，与其服务质量保证措施有一定呼应；</w:t>
            </w:r>
          </w:p>
          <w:p>
            <w:pPr>
              <w:rPr>
                <w:rFonts w:ascii="宋体" w:hAnsi="宋体"/>
                <w:szCs w:val="21"/>
              </w:rPr>
            </w:pPr>
            <w:r>
              <w:rPr>
                <w:rFonts w:hint="eastAsia" w:ascii="宋体" w:hAnsi="宋体" w:cs="宋体"/>
                <w:color w:val="000000"/>
                <w:szCs w:val="21"/>
              </w:rPr>
              <w:t>第四个档次（</w:t>
            </w:r>
            <w:r>
              <w:rPr>
                <w:rFonts w:hint="eastAsia" w:ascii="宋体" w:hAnsi="宋体" w:cs="宋体"/>
                <w:color w:val="000000"/>
                <w:szCs w:val="21"/>
                <w:lang w:val="en-US" w:eastAsia="zh-CN"/>
              </w:rPr>
              <w:t>14-0</w:t>
            </w:r>
            <w:r>
              <w:rPr>
                <w:rFonts w:hint="eastAsia" w:ascii="宋体" w:hAnsi="宋体" w:cs="宋体"/>
                <w:color w:val="000000"/>
                <w:szCs w:val="21"/>
              </w:rPr>
              <w:t>分）： 应急预案及服务质量保证措施较差，服务承诺较差，内容不完整，条理不清晰。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tcBorders>
              <w:right w:val="single" w:color="auto" w:sz="4" w:space="0"/>
            </w:tcBorders>
            <w:shd w:val="clear" w:color="auto" w:fill="auto"/>
            <w:vAlign w:val="center"/>
          </w:tcPr>
          <w:p/>
        </w:tc>
        <w:tc>
          <w:tcPr>
            <w:tcW w:w="817" w:type="dxa"/>
            <w:vMerge w:val="continue"/>
            <w:tcBorders>
              <w:left w:val="single" w:color="auto" w:sz="4" w:space="0"/>
            </w:tcBorders>
            <w:shd w:val="clear" w:color="auto" w:fill="auto"/>
            <w:vAlign w:val="center"/>
          </w:tcPr>
          <w:p/>
        </w:tc>
        <w:tc>
          <w:tcPr>
            <w:tcW w:w="7662" w:type="dxa"/>
            <w:gridSpan w:val="2"/>
            <w:tcBorders>
              <w:top w:val="single" w:color="auto" w:sz="4" w:space="0"/>
            </w:tcBorders>
            <w:vAlign w:val="center"/>
          </w:tcPr>
          <w:p>
            <w:pPr>
              <w:rPr>
                <w:b/>
                <w:szCs w:val="21"/>
              </w:rPr>
            </w:pPr>
            <w:r>
              <w:rPr>
                <w:rFonts w:hint="eastAsia" w:ascii="宋体" w:hAnsi="宋体"/>
                <w:b/>
                <w:szCs w:val="21"/>
              </w:rPr>
              <w:t>备注：对各供应商的</w:t>
            </w:r>
            <w:r>
              <w:rPr>
                <w:rFonts w:hint="eastAsia" w:ascii="宋体" w:hAnsi="宋体"/>
                <w:b/>
                <w:bCs/>
                <w:szCs w:val="21"/>
              </w:rPr>
              <w:t>响应</w:t>
            </w:r>
            <w:r>
              <w:rPr>
                <w:rFonts w:hint="eastAsia" w:ascii="宋体" w:hAnsi="宋体"/>
                <w:b/>
                <w:szCs w:val="21"/>
              </w:rPr>
              <w:t>文件技术部分独立进行分挡评分</w:t>
            </w:r>
            <w:r>
              <w:rPr>
                <w:rFonts w:hint="eastAsia"/>
                <w:b/>
                <w:szCs w:val="21"/>
              </w:rPr>
              <w:t>。</w:t>
            </w:r>
          </w:p>
        </w:tc>
      </w:tr>
    </w:tbl>
    <w:p/>
    <w:p/>
    <w:p/>
    <w:p/>
    <w:p/>
    <w:p/>
    <w:p/>
    <w:p/>
    <w:p/>
    <w:p/>
    <w:p/>
    <w:p/>
    <w:p/>
    <w:p/>
    <w:p/>
    <w:p/>
    <w:tbl>
      <w:tblPr>
        <w:tblStyle w:val="32"/>
        <w:tblW w:w="92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817"/>
        <w:gridCol w:w="2439"/>
        <w:gridCol w:w="522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8" w:hRule="atLeast"/>
          <w:jc w:val="center"/>
        </w:trPr>
        <w:tc>
          <w:tcPr>
            <w:tcW w:w="1634" w:type="dxa"/>
            <w:gridSpan w:val="2"/>
            <w:vAlign w:val="center"/>
          </w:tcPr>
          <w:p>
            <w:pPr>
              <w:rPr>
                <w:rFonts w:ascii="宋体"/>
                <w:szCs w:val="21"/>
              </w:rPr>
            </w:pPr>
            <w:r>
              <w:rPr>
                <w:rFonts w:hint="eastAsia" w:ascii="宋体"/>
                <w:b/>
                <w:szCs w:val="21"/>
              </w:rPr>
              <w:t>条款号</w:t>
            </w:r>
          </w:p>
        </w:tc>
        <w:tc>
          <w:tcPr>
            <w:tcW w:w="2439" w:type="dxa"/>
            <w:vAlign w:val="center"/>
          </w:tcPr>
          <w:p>
            <w:pPr>
              <w:jc w:val="center"/>
              <w:rPr>
                <w:rFonts w:ascii="宋体"/>
                <w:b/>
                <w:szCs w:val="21"/>
              </w:rPr>
            </w:pPr>
            <w:r>
              <w:rPr>
                <w:rFonts w:hint="eastAsia" w:ascii="宋体"/>
                <w:b/>
                <w:szCs w:val="21"/>
              </w:rPr>
              <w:t>评分因素</w:t>
            </w:r>
          </w:p>
        </w:tc>
        <w:tc>
          <w:tcPr>
            <w:tcW w:w="5223" w:type="dxa"/>
            <w:vAlign w:val="center"/>
          </w:tcPr>
          <w:p>
            <w:pPr>
              <w:jc w:val="center"/>
              <w:rPr>
                <w:rFonts w:ascii="宋体"/>
                <w:b/>
                <w:szCs w:val="21"/>
              </w:rPr>
            </w:pPr>
            <w:r>
              <w:rPr>
                <w:rFonts w:hint="eastAsia" w:ascii="宋体"/>
                <w:b/>
                <w:szCs w:val="21"/>
              </w:rPr>
              <w:t>评分标准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restart"/>
            <w:tcBorders>
              <w:right w:val="single" w:color="auto" w:sz="4" w:space="0"/>
            </w:tcBorders>
            <w:shd w:val="clear" w:color="auto" w:fill="auto"/>
            <w:vAlign w:val="center"/>
          </w:tcPr>
          <w:p>
            <w:pPr>
              <w:jc w:val="center"/>
              <w:rPr>
                <w:rFonts w:ascii="宋体"/>
              </w:rPr>
            </w:pPr>
            <w:r>
              <w:rPr>
                <w:rFonts w:hint="eastAsia" w:ascii="宋体"/>
              </w:rPr>
              <w:t>2.3.2（2）</w:t>
            </w:r>
          </w:p>
        </w:tc>
        <w:tc>
          <w:tcPr>
            <w:tcW w:w="817" w:type="dxa"/>
            <w:vMerge w:val="restart"/>
            <w:tcBorders>
              <w:left w:val="single" w:color="auto" w:sz="4" w:space="0"/>
            </w:tcBorders>
            <w:shd w:val="clear" w:color="auto" w:fill="auto"/>
            <w:vAlign w:val="center"/>
          </w:tcPr>
          <w:p>
            <w:pPr>
              <w:jc w:val="center"/>
              <w:rPr>
                <w:rFonts w:ascii="宋体"/>
                <w:szCs w:val="21"/>
              </w:rPr>
            </w:pPr>
            <w:r>
              <w:rPr>
                <w:rFonts w:hint="eastAsia" w:ascii="宋体"/>
                <w:szCs w:val="21"/>
              </w:rPr>
              <w:t>服务及信誉部分</w:t>
            </w:r>
          </w:p>
          <w:p>
            <w:pPr>
              <w:jc w:val="center"/>
              <w:rPr>
                <w:rFonts w:ascii="宋体"/>
                <w:szCs w:val="21"/>
              </w:rPr>
            </w:pPr>
            <w:r>
              <w:rPr>
                <w:rFonts w:hint="eastAsia" w:ascii="宋体"/>
                <w:szCs w:val="21"/>
              </w:rPr>
              <w:t>F2</w:t>
            </w:r>
          </w:p>
          <w:p>
            <w:pPr>
              <w:jc w:val="center"/>
              <w:rPr>
                <w:rFonts w:ascii="宋体"/>
                <w:szCs w:val="21"/>
              </w:rPr>
            </w:pPr>
            <w:r>
              <w:rPr>
                <w:rFonts w:hint="eastAsia" w:ascii="宋体"/>
                <w:szCs w:val="21"/>
              </w:rPr>
              <w:t>评分标准</w:t>
            </w:r>
          </w:p>
        </w:tc>
        <w:tc>
          <w:tcPr>
            <w:tcW w:w="2439" w:type="dxa"/>
            <w:vAlign w:val="center"/>
          </w:tcPr>
          <w:p>
            <w:pPr>
              <w:jc w:val="center"/>
              <w:rPr>
                <w:rFonts w:ascii="宋体" w:hAnsi="宋体"/>
                <w:szCs w:val="21"/>
              </w:rPr>
            </w:pPr>
            <w:r>
              <w:rPr>
                <w:rFonts w:ascii="宋体" w:hAnsi="宋体"/>
                <w:szCs w:val="21"/>
              </w:rPr>
              <w:t>服务体系、规范化管理体系</w:t>
            </w:r>
          </w:p>
          <w:p>
            <w:pPr>
              <w:jc w:val="center"/>
              <w:rPr>
                <w:rFonts w:ascii="宋体" w:hAnsi="宋体"/>
                <w:szCs w:val="21"/>
              </w:rPr>
            </w:pPr>
            <w:r>
              <w:rPr>
                <w:rFonts w:ascii="宋体" w:hAnsi="宋体"/>
                <w:szCs w:val="21"/>
              </w:rPr>
              <w:t>（满分</w:t>
            </w:r>
            <w:r>
              <w:rPr>
                <w:rFonts w:hint="eastAsia" w:ascii="宋体" w:hAnsi="宋体"/>
                <w:szCs w:val="21"/>
                <w:lang w:val="en-US" w:eastAsia="zh-CN"/>
              </w:rPr>
              <w:t>10</w:t>
            </w:r>
            <w:r>
              <w:rPr>
                <w:rFonts w:ascii="宋体" w:hAnsi="宋体"/>
                <w:szCs w:val="21"/>
              </w:rPr>
              <w:t>分）</w:t>
            </w:r>
          </w:p>
        </w:tc>
        <w:tc>
          <w:tcPr>
            <w:tcW w:w="5223" w:type="dxa"/>
            <w:vAlign w:val="center"/>
          </w:tcPr>
          <w:p>
            <w:pPr>
              <w:rPr>
                <w:rFonts w:ascii="宋体" w:hAnsi="宋体"/>
                <w:szCs w:val="21"/>
              </w:rPr>
            </w:pPr>
            <w:r>
              <w:rPr>
                <w:rFonts w:ascii="宋体" w:hAnsi="宋体"/>
                <w:szCs w:val="21"/>
              </w:rPr>
              <w:t>第一个档次（</w:t>
            </w:r>
            <w:r>
              <w:rPr>
                <w:rFonts w:hint="eastAsia" w:ascii="宋体" w:hAnsi="宋体"/>
                <w:szCs w:val="21"/>
                <w:lang w:val="en-US" w:eastAsia="zh-CN"/>
              </w:rPr>
              <w:t>10-9</w:t>
            </w:r>
            <w:r>
              <w:rPr>
                <w:rFonts w:ascii="宋体" w:hAnsi="宋体"/>
                <w:szCs w:val="21"/>
              </w:rPr>
              <w:t>分）：有完善的服务体系及科学规范的管理体系；</w:t>
            </w:r>
          </w:p>
          <w:p>
            <w:pPr>
              <w:rPr>
                <w:rFonts w:ascii="宋体" w:hAnsi="宋体"/>
                <w:szCs w:val="21"/>
              </w:rPr>
            </w:pPr>
            <w:r>
              <w:rPr>
                <w:rFonts w:ascii="宋体" w:hAnsi="宋体"/>
                <w:szCs w:val="21"/>
              </w:rPr>
              <w:t>第二个档次（</w:t>
            </w:r>
            <w:r>
              <w:rPr>
                <w:rFonts w:hint="eastAsia" w:ascii="宋体" w:hAnsi="宋体"/>
                <w:szCs w:val="21"/>
                <w:lang w:val="en-US" w:eastAsia="zh-CN"/>
              </w:rPr>
              <w:t>8-7</w:t>
            </w:r>
            <w:r>
              <w:rPr>
                <w:rFonts w:ascii="宋体" w:hAnsi="宋体"/>
                <w:szCs w:val="21"/>
              </w:rPr>
              <w:t>分）：有规范的服务体系、管理体系；</w:t>
            </w:r>
          </w:p>
          <w:p>
            <w:pPr>
              <w:rPr>
                <w:rFonts w:ascii="宋体" w:hAnsi="宋体"/>
                <w:szCs w:val="21"/>
              </w:rPr>
            </w:pPr>
            <w:r>
              <w:rPr>
                <w:rFonts w:ascii="宋体" w:hAnsi="宋体"/>
                <w:szCs w:val="21"/>
              </w:rPr>
              <w:t>第三个档次（</w:t>
            </w:r>
            <w:r>
              <w:rPr>
                <w:rFonts w:hint="eastAsia" w:ascii="宋体" w:hAnsi="宋体"/>
                <w:szCs w:val="21"/>
                <w:lang w:val="en-US" w:eastAsia="zh-CN"/>
              </w:rPr>
              <w:t>6-4</w:t>
            </w:r>
            <w:r>
              <w:rPr>
                <w:rFonts w:ascii="宋体" w:hAnsi="宋体"/>
                <w:szCs w:val="21"/>
              </w:rPr>
              <w:t>分）：服务体系、管理体系规范性一般；</w:t>
            </w:r>
          </w:p>
          <w:p>
            <w:pPr>
              <w:rPr>
                <w:rFonts w:ascii="宋体" w:hAnsi="宋体"/>
                <w:szCs w:val="21"/>
              </w:rPr>
            </w:pPr>
            <w:r>
              <w:rPr>
                <w:rFonts w:ascii="宋体" w:hAnsi="宋体"/>
                <w:szCs w:val="21"/>
              </w:rPr>
              <w:t>第四个档次（</w:t>
            </w:r>
            <w:r>
              <w:rPr>
                <w:rFonts w:hint="eastAsia" w:ascii="宋体" w:hAnsi="宋体"/>
                <w:szCs w:val="21"/>
                <w:lang w:val="en-US" w:eastAsia="zh-CN"/>
              </w:rPr>
              <w:t>3-</w:t>
            </w:r>
            <w:r>
              <w:rPr>
                <w:rFonts w:ascii="宋体" w:hAnsi="宋体"/>
                <w:szCs w:val="21"/>
              </w:rPr>
              <w:t>0分）：服务体系、管理体系较差</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tcBorders>
              <w:right w:val="single" w:color="auto" w:sz="4" w:space="0"/>
            </w:tcBorders>
            <w:shd w:val="clear" w:color="auto" w:fill="auto"/>
            <w:vAlign w:val="center"/>
          </w:tcPr>
          <w:p/>
        </w:tc>
        <w:tc>
          <w:tcPr>
            <w:tcW w:w="817" w:type="dxa"/>
            <w:vMerge w:val="continue"/>
            <w:tcBorders>
              <w:left w:val="single" w:color="auto" w:sz="4" w:space="0"/>
            </w:tcBorders>
            <w:shd w:val="clear" w:color="auto" w:fill="auto"/>
            <w:vAlign w:val="center"/>
          </w:tcPr>
          <w:p/>
        </w:tc>
        <w:tc>
          <w:tcPr>
            <w:tcW w:w="2439" w:type="dxa"/>
            <w:vAlign w:val="center"/>
          </w:tcPr>
          <w:p>
            <w:pPr>
              <w:jc w:val="center"/>
              <w:rPr>
                <w:rFonts w:ascii="宋体" w:hAnsi="宋体" w:cs="宋体"/>
                <w:color w:val="000000"/>
                <w:szCs w:val="21"/>
              </w:rPr>
            </w:pPr>
            <w:r>
              <w:rPr>
                <w:rFonts w:hint="eastAsia" w:ascii="宋体" w:hAnsi="宋体" w:cs="宋体"/>
                <w:color w:val="000000"/>
                <w:szCs w:val="21"/>
              </w:rPr>
              <w:t>人员配备情况</w:t>
            </w:r>
          </w:p>
          <w:p>
            <w:pPr>
              <w:jc w:val="center"/>
              <w:rPr>
                <w:rFonts w:ascii="宋体" w:hAnsi="宋体"/>
                <w:szCs w:val="21"/>
              </w:rPr>
            </w:pPr>
            <w:r>
              <w:rPr>
                <w:rFonts w:hint="eastAsia" w:ascii="宋体" w:hAnsi="宋体" w:cs="宋体"/>
                <w:color w:val="000000"/>
                <w:szCs w:val="21"/>
              </w:rPr>
              <w:t>（满分40分）</w:t>
            </w:r>
          </w:p>
        </w:tc>
        <w:tc>
          <w:tcPr>
            <w:tcW w:w="5223" w:type="dxa"/>
            <w:vAlign w:val="center"/>
          </w:tcPr>
          <w:p>
            <w:pPr>
              <w:rPr>
                <w:rFonts w:ascii="宋体" w:hAnsi="宋体" w:cs="宋体"/>
                <w:color w:val="000000"/>
                <w:szCs w:val="21"/>
              </w:rPr>
            </w:pPr>
            <w:r>
              <w:rPr>
                <w:rFonts w:hint="eastAsia" w:ascii="宋体" w:hAnsi="宋体" w:cs="宋体"/>
                <w:color w:val="000000"/>
                <w:szCs w:val="21"/>
              </w:rPr>
              <w:t>第一个档次（40-35分）：配置的人员齐全合理，证书齐全，针对本项目有非常好的岗位分工和合理的搭配，人员管理及实践经验丰富；</w:t>
            </w:r>
          </w:p>
          <w:p>
            <w:pPr>
              <w:rPr>
                <w:rFonts w:ascii="宋体" w:hAnsi="宋体" w:cs="宋体"/>
                <w:color w:val="000000"/>
                <w:szCs w:val="21"/>
              </w:rPr>
            </w:pPr>
            <w:r>
              <w:rPr>
                <w:rFonts w:hint="eastAsia" w:ascii="宋体" w:hAnsi="宋体" w:cs="宋体"/>
                <w:color w:val="000000"/>
                <w:szCs w:val="21"/>
              </w:rPr>
              <w:t>第二个档次（34-29分）：配置的人员岗位分工合理，证书齐全，但可行性一般，人员有一定的项目管理及实践经验；</w:t>
            </w:r>
          </w:p>
          <w:p>
            <w:pPr>
              <w:rPr>
                <w:rFonts w:ascii="宋体" w:hAnsi="宋体" w:cs="宋体"/>
                <w:color w:val="000000"/>
                <w:szCs w:val="21"/>
              </w:rPr>
            </w:pPr>
            <w:r>
              <w:rPr>
                <w:rFonts w:hint="eastAsia" w:ascii="宋体" w:hAnsi="宋体" w:cs="宋体"/>
                <w:color w:val="000000"/>
                <w:szCs w:val="21"/>
              </w:rPr>
              <w:t>第三个档次（28-20分）：配置的人员岗位分工基本合理，证书不齐全，但可行性差，人员无项目管理及实践经验；</w:t>
            </w:r>
          </w:p>
          <w:p>
            <w:pPr>
              <w:rPr>
                <w:rFonts w:ascii="宋体" w:hAnsi="宋体"/>
                <w:szCs w:val="21"/>
              </w:rPr>
            </w:pPr>
            <w:r>
              <w:rPr>
                <w:rFonts w:hint="eastAsia" w:ascii="宋体" w:hAnsi="宋体" w:cs="宋体"/>
                <w:color w:val="000000"/>
                <w:szCs w:val="21"/>
              </w:rPr>
              <w:t>第四个档次（19-0分）：配置的人员不齐全，证书不齐全，岗位分工不合理，人员无项目管理及实践经验。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tcBorders>
              <w:right w:val="single" w:color="auto" w:sz="4" w:space="0"/>
            </w:tcBorders>
            <w:shd w:val="clear" w:color="auto" w:fill="auto"/>
            <w:vAlign w:val="center"/>
          </w:tcPr>
          <w:p/>
        </w:tc>
        <w:tc>
          <w:tcPr>
            <w:tcW w:w="817" w:type="dxa"/>
            <w:vMerge w:val="continue"/>
            <w:tcBorders>
              <w:left w:val="single" w:color="auto" w:sz="4" w:space="0"/>
            </w:tcBorders>
            <w:shd w:val="clear" w:color="auto" w:fill="auto"/>
            <w:vAlign w:val="center"/>
          </w:tcPr>
          <w:p/>
        </w:tc>
        <w:tc>
          <w:tcPr>
            <w:tcW w:w="2439" w:type="dxa"/>
            <w:vAlign w:val="center"/>
          </w:tcPr>
          <w:p>
            <w:pPr>
              <w:jc w:val="center"/>
              <w:rPr>
                <w:rFonts w:ascii="宋体" w:hAnsi="宋体" w:cs="宋体"/>
                <w:color w:val="000000"/>
                <w:szCs w:val="21"/>
              </w:rPr>
            </w:pPr>
            <w:r>
              <w:rPr>
                <w:rFonts w:hint="eastAsia" w:ascii="宋体" w:hAnsi="宋体" w:cs="宋体"/>
                <w:color w:val="000000"/>
                <w:szCs w:val="21"/>
              </w:rPr>
              <w:t>业绩</w:t>
            </w:r>
          </w:p>
          <w:p>
            <w:pPr>
              <w:jc w:val="center"/>
              <w:rPr>
                <w:rFonts w:ascii="宋体" w:hAnsi="宋体"/>
                <w:szCs w:val="21"/>
              </w:rPr>
            </w:pPr>
            <w:r>
              <w:rPr>
                <w:rFonts w:hint="eastAsia" w:ascii="宋体" w:hAnsi="宋体" w:cs="宋体"/>
                <w:color w:val="000000"/>
                <w:szCs w:val="21"/>
              </w:rPr>
              <w:t>（满分</w:t>
            </w:r>
            <w:r>
              <w:rPr>
                <w:rFonts w:hint="eastAsia" w:ascii="宋体" w:hAnsi="宋体" w:cs="宋体"/>
                <w:color w:val="000000"/>
                <w:szCs w:val="21"/>
                <w:lang w:val="en-US" w:eastAsia="zh-CN"/>
              </w:rPr>
              <w:t>30</w:t>
            </w:r>
            <w:r>
              <w:rPr>
                <w:rFonts w:hint="eastAsia" w:ascii="宋体" w:hAnsi="宋体" w:cs="宋体"/>
                <w:color w:val="000000"/>
                <w:szCs w:val="21"/>
              </w:rPr>
              <w:t>分）</w:t>
            </w:r>
          </w:p>
        </w:tc>
        <w:tc>
          <w:tcPr>
            <w:tcW w:w="5223" w:type="dxa"/>
            <w:vAlign w:val="center"/>
          </w:tcPr>
          <w:p>
            <w:pPr>
              <w:rPr>
                <w:rFonts w:ascii="宋体" w:hAnsi="宋体"/>
                <w:szCs w:val="21"/>
              </w:rPr>
            </w:pPr>
            <w:r>
              <w:rPr>
                <w:rFonts w:hint="eastAsia" w:ascii="宋体" w:hAnsi="宋体" w:cs="宋体"/>
                <w:color w:val="000000"/>
                <w:szCs w:val="21"/>
              </w:rPr>
              <w:t>业绩需</w:t>
            </w:r>
            <w:r>
              <w:rPr>
                <w:rFonts w:hint="eastAsia" w:ascii="宋体" w:hAnsi="宋体" w:cs="宋体"/>
                <w:color w:val="000000"/>
                <w:szCs w:val="21"/>
                <w:lang w:eastAsia="zh-CN"/>
              </w:rPr>
              <w:t>提交</w:t>
            </w:r>
            <w:r>
              <w:rPr>
                <w:rFonts w:hint="eastAsia" w:ascii="宋体" w:hAnsi="宋体" w:cs="宋体"/>
                <w:color w:val="000000"/>
                <w:szCs w:val="21"/>
                <w:lang w:val="en-US" w:eastAsia="zh-CN"/>
              </w:rPr>
              <w:t>2019年1月至今的</w:t>
            </w:r>
            <w:r>
              <w:rPr>
                <w:rFonts w:hint="eastAsia" w:ascii="宋体" w:hAnsi="宋体" w:cs="宋体"/>
                <w:color w:val="000000"/>
                <w:szCs w:val="21"/>
              </w:rPr>
              <w:t>中标通知书或合同复印件加盖公章作为证明材料</w:t>
            </w:r>
            <w:r>
              <w:rPr>
                <w:rFonts w:hint="eastAsia" w:ascii="宋体" w:hAnsi="宋体" w:cs="宋体"/>
                <w:color w:val="000000"/>
                <w:szCs w:val="21"/>
                <w:lang w:eastAsia="zh-CN"/>
              </w:rPr>
              <w:t>，每提供一项证明材料得</w:t>
            </w:r>
            <w:r>
              <w:rPr>
                <w:rFonts w:hint="eastAsia" w:ascii="宋体" w:hAnsi="宋体" w:cs="宋体"/>
                <w:color w:val="000000"/>
                <w:szCs w:val="21"/>
                <w:lang w:val="en-US" w:eastAsia="zh-CN"/>
              </w:rPr>
              <w:t>5分，本项满分30分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tcBorders>
              <w:right w:val="single" w:color="auto" w:sz="4" w:space="0"/>
            </w:tcBorders>
            <w:shd w:val="clear" w:color="auto" w:fill="auto"/>
            <w:vAlign w:val="center"/>
          </w:tcPr>
          <w:p/>
        </w:tc>
        <w:tc>
          <w:tcPr>
            <w:tcW w:w="817" w:type="dxa"/>
            <w:vMerge w:val="continue"/>
            <w:tcBorders>
              <w:left w:val="single" w:color="auto" w:sz="4" w:space="0"/>
            </w:tcBorders>
            <w:shd w:val="clear" w:color="auto" w:fill="auto"/>
            <w:vAlign w:val="center"/>
          </w:tcPr>
          <w:p/>
        </w:tc>
        <w:tc>
          <w:tcPr>
            <w:tcW w:w="2439" w:type="dxa"/>
            <w:vAlign w:val="center"/>
          </w:tcPr>
          <w:p>
            <w:pPr>
              <w:jc w:val="center"/>
              <w:rPr>
                <w:rFonts w:ascii="宋体" w:hAnsi="宋体"/>
                <w:szCs w:val="21"/>
              </w:rPr>
            </w:pPr>
            <w:r>
              <w:rPr>
                <w:rFonts w:ascii="宋体" w:hAnsi="宋体"/>
                <w:szCs w:val="21"/>
              </w:rPr>
              <w:t>财务状况、社会信誉</w:t>
            </w:r>
          </w:p>
          <w:p>
            <w:pPr>
              <w:jc w:val="center"/>
              <w:rPr>
                <w:rFonts w:ascii="宋体" w:hAnsi="宋体"/>
                <w:szCs w:val="21"/>
              </w:rPr>
            </w:pPr>
            <w:r>
              <w:rPr>
                <w:rFonts w:ascii="宋体" w:hAnsi="宋体"/>
                <w:szCs w:val="21"/>
              </w:rPr>
              <w:t>（满分</w:t>
            </w:r>
            <w:r>
              <w:rPr>
                <w:rFonts w:hint="eastAsia" w:ascii="宋体" w:hAnsi="宋体"/>
                <w:szCs w:val="21"/>
              </w:rPr>
              <w:t>20</w:t>
            </w:r>
            <w:r>
              <w:rPr>
                <w:rFonts w:ascii="宋体" w:hAnsi="宋体"/>
                <w:szCs w:val="21"/>
              </w:rPr>
              <w:t>分）</w:t>
            </w:r>
          </w:p>
        </w:tc>
        <w:tc>
          <w:tcPr>
            <w:tcW w:w="5223" w:type="dxa"/>
            <w:vAlign w:val="center"/>
          </w:tcPr>
          <w:p>
            <w:pPr>
              <w:rPr>
                <w:rFonts w:ascii="宋体" w:hAnsi="宋体"/>
                <w:szCs w:val="21"/>
              </w:rPr>
            </w:pPr>
            <w:r>
              <w:rPr>
                <w:rFonts w:hint="eastAsia" w:ascii="宋体" w:hAnsi="宋体"/>
                <w:szCs w:val="21"/>
              </w:rPr>
              <w:t>第一个档次（20-17分）：财务状况、社会信誉优；</w:t>
            </w:r>
          </w:p>
          <w:p>
            <w:pPr>
              <w:rPr>
                <w:rFonts w:ascii="宋体" w:hAnsi="宋体"/>
                <w:szCs w:val="21"/>
              </w:rPr>
            </w:pPr>
            <w:r>
              <w:rPr>
                <w:rFonts w:hint="eastAsia" w:ascii="宋体" w:hAnsi="宋体"/>
                <w:szCs w:val="21"/>
              </w:rPr>
              <w:t>第二个档次（16-13分）：财务状况、社会信誉良好；</w:t>
            </w:r>
          </w:p>
          <w:p>
            <w:pPr>
              <w:rPr>
                <w:rFonts w:ascii="宋体" w:hAnsi="宋体"/>
                <w:szCs w:val="21"/>
              </w:rPr>
            </w:pPr>
            <w:r>
              <w:rPr>
                <w:rFonts w:hint="eastAsia" w:ascii="宋体" w:hAnsi="宋体"/>
                <w:szCs w:val="21"/>
              </w:rPr>
              <w:t>第三个档次（12-7分）：财务状况、社会信誉一般；</w:t>
            </w:r>
          </w:p>
          <w:p>
            <w:pPr>
              <w:rPr>
                <w:rFonts w:ascii="宋体" w:hAnsi="宋体"/>
                <w:szCs w:val="21"/>
              </w:rPr>
            </w:pPr>
            <w:r>
              <w:rPr>
                <w:rFonts w:hint="eastAsia" w:ascii="宋体" w:hAnsi="宋体"/>
                <w:szCs w:val="21"/>
              </w:rPr>
              <w:t>第四个档次（6-0分）：财务状况、社会信誉差。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17" w:type="dxa"/>
            <w:vMerge w:val="continue"/>
            <w:tcBorders>
              <w:right w:val="single" w:color="auto" w:sz="4" w:space="0"/>
            </w:tcBorders>
            <w:shd w:val="clear" w:color="auto" w:fill="auto"/>
            <w:vAlign w:val="center"/>
          </w:tcPr>
          <w:p/>
        </w:tc>
        <w:tc>
          <w:tcPr>
            <w:tcW w:w="817" w:type="dxa"/>
            <w:vMerge w:val="continue"/>
            <w:tcBorders>
              <w:left w:val="single" w:color="auto" w:sz="4" w:space="0"/>
            </w:tcBorders>
            <w:shd w:val="clear" w:color="auto" w:fill="auto"/>
            <w:vAlign w:val="center"/>
          </w:tcPr>
          <w:p/>
        </w:tc>
        <w:tc>
          <w:tcPr>
            <w:tcW w:w="7662" w:type="dxa"/>
            <w:gridSpan w:val="2"/>
            <w:vAlign w:val="center"/>
          </w:tcPr>
          <w:p>
            <w:pPr>
              <w:rPr>
                <w:rFonts w:ascii="宋体" w:hAnsi="宋体"/>
                <w:b/>
                <w:szCs w:val="21"/>
                <w:u w:val="single"/>
              </w:rPr>
            </w:pPr>
            <w:r>
              <w:rPr>
                <w:rFonts w:hint="eastAsia" w:ascii="宋体" w:hAnsi="宋体"/>
                <w:b/>
                <w:szCs w:val="21"/>
              </w:rPr>
              <w:t>备注：对各供应商响应文件的服务及信誉部分独立进行分挡评分。</w:t>
            </w:r>
          </w:p>
        </w:tc>
      </w:tr>
    </w:tbl>
    <w:p/>
    <w:p/>
    <w:p/>
    <w:p/>
    <w:p/>
    <w:p/>
    <w:p/>
    <w:p/>
    <w:p/>
    <w:p/>
    <w:p/>
    <w:p/>
    <w:p/>
    <w:p/>
    <w:tbl>
      <w:tblPr>
        <w:tblStyle w:val="32"/>
        <w:tblW w:w="92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817"/>
        <w:gridCol w:w="2439"/>
        <w:gridCol w:w="522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34" w:type="dxa"/>
            <w:gridSpan w:val="2"/>
            <w:tcBorders>
              <w:bottom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条款号</w:t>
            </w:r>
          </w:p>
        </w:tc>
        <w:tc>
          <w:tcPr>
            <w:tcW w:w="2439" w:type="dxa"/>
            <w:vAlign w:val="center"/>
          </w:tcPr>
          <w:p>
            <w:pPr>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评分因素</w:t>
            </w:r>
          </w:p>
        </w:tc>
        <w:tc>
          <w:tcPr>
            <w:tcW w:w="5223" w:type="dxa"/>
            <w:vAlign w:val="center"/>
          </w:tcPr>
          <w:p>
            <w:pPr>
              <w:jc w:val="cente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评分标准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34" w:type="dxa"/>
            <w:gridSpan w:val="2"/>
            <w:tcBorders>
              <w:bottom w:val="single" w:color="auto" w:sz="4" w:space="0"/>
            </w:tcBorders>
            <w:vAlign w:val="center"/>
          </w:tcPr>
          <w:p>
            <w:pPr>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2.3.3</w:t>
            </w:r>
          </w:p>
        </w:tc>
        <w:tc>
          <w:tcPr>
            <w:tcW w:w="2439" w:type="dxa"/>
            <w:vAlign w:val="center"/>
          </w:tcPr>
          <w:p>
            <w:pPr>
              <w:jc w:val="center"/>
              <w:rPr>
                <w:rFonts w:ascii="宋体"/>
                <w:b/>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磋商基准价计算方法</w:t>
            </w:r>
          </w:p>
        </w:tc>
        <w:tc>
          <w:tcPr>
            <w:tcW w:w="5223" w:type="dxa"/>
            <w:vAlign w:val="center"/>
          </w:tcPr>
          <w:p>
            <w:pPr>
              <w:rPr>
                <w:rFonts w:ascii="宋体"/>
                <w:b/>
                <w:color w:val="000000" w:themeColor="text1"/>
                <w:szCs w:val="21"/>
                <w14:textFill>
                  <w14:solidFill>
                    <w14:schemeClr w14:val="tx1"/>
                  </w14:solidFill>
                </w14:textFill>
              </w:rPr>
            </w:pPr>
            <w:r>
              <w:rPr>
                <w:rFonts w:hint="eastAsia" w:ascii="宋体" w:cs="宋体"/>
                <w:kern w:val="0"/>
                <w:szCs w:val="21"/>
              </w:rPr>
              <w:t>满足</w:t>
            </w:r>
            <w:r>
              <w:rPr>
                <w:rFonts w:hint="eastAsia" w:ascii="宋体"/>
              </w:rPr>
              <w:t>竞争性磋商</w:t>
            </w:r>
            <w:r>
              <w:rPr>
                <w:rFonts w:hint="eastAsia" w:ascii="宋体" w:cs="宋体"/>
                <w:kern w:val="0"/>
                <w:szCs w:val="21"/>
              </w:rPr>
              <w:t>文件要求且最后报价最低的供应商的价格为磋商基准价。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17" w:type="dxa"/>
            <w:vMerge w:val="restart"/>
            <w:tcBorders>
              <w:top w:val="single" w:color="auto" w:sz="4" w:space="0"/>
              <w:right w:val="single" w:color="auto" w:sz="4" w:space="0"/>
            </w:tcBorders>
            <w:shd w:val="clear" w:color="auto" w:fill="auto"/>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2.3.2（3）</w:t>
            </w:r>
          </w:p>
        </w:tc>
        <w:tc>
          <w:tcPr>
            <w:tcW w:w="817" w:type="dxa"/>
            <w:vMerge w:val="restart"/>
            <w:tcBorders>
              <w:top w:val="single" w:color="auto" w:sz="4" w:space="0"/>
              <w:left w:val="single" w:color="auto" w:sz="4" w:space="0"/>
            </w:tcBorders>
            <w:shd w:val="clear" w:color="auto" w:fill="auto"/>
            <w:vAlign w:val="center"/>
          </w:tcPr>
          <w:p>
            <w:pPr>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最后报价</w:t>
            </w:r>
          </w:p>
          <w:p>
            <w:pPr>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F3</w:t>
            </w:r>
          </w:p>
          <w:p>
            <w:pPr>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评分标准</w:t>
            </w:r>
          </w:p>
        </w:tc>
        <w:tc>
          <w:tcPr>
            <w:tcW w:w="2439" w:type="dxa"/>
            <w:vMerge w:val="restart"/>
            <w:vAlign w:val="center"/>
          </w:tcPr>
          <w:p>
            <w:pPr>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最后报价评分计算公式</w:t>
            </w:r>
          </w:p>
        </w:tc>
        <w:tc>
          <w:tcPr>
            <w:tcW w:w="5223" w:type="dxa"/>
            <w:vAlign w:val="center"/>
          </w:tcPr>
          <w:p>
            <w:pP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F3＝（</w:t>
            </w:r>
            <w:r>
              <w:rPr>
                <w:rFonts w:hint="eastAsia" w:ascii="宋体" w:cs="宋体"/>
                <w:color w:val="000000" w:themeColor="text1"/>
                <w:kern w:val="0"/>
                <w:szCs w:val="21"/>
                <w14:textFill>
                  <w14:solidFill>
                    <w14:schemeClr w14:val="tx1"/>
                  </w14:solidFill>
                </w14:textFill>
              </w:rPr>
              <w:t>磋商基准价</w:t>
            </w:r>
            <w:r>
              <w:rPr>
                <w:rFonts w:hint="eastAsia" w:ascii="宋体" w:cs="宋体"/>
                <w:kern w:val="0"/>
                <w:szCs w:val="21"/>
              </w:rPr>
              <w:t>/该供应商的</w:t>
            </w:r>
            <w:r>
              <w:rPr>
                <w:rFonts w:hint="eastAsia" w:ascii="宋体" w:cs="宋体"/>
                <w:color w:val="000000" w:themeColor="text1"/>
                <w:kern w:val="0"/>
                <w:szCs w:val="21"/>
                <w14:textFill>
                  <w14:solidFill>
                    <w14:schemeClr w14:val="tx1"/>
                  </w14:solidFill>
                </w14:textFill>
              </w:rPr>
              <w:t>最后报价）</w:t>
            </w:r>
            <w:r>
              <w:rPr>
                <w:rFonts w:hint="eastAsia" w:ascii="宋体"/>
                <w:color w:val="000000" w:themeColor="text1"/>
                <w:szCs w:val="21"/>
                <w14:textFill>
                  <w14:solidFill>
                    <w14:schemeClr w14:val="tx1"/>
                  </w14:solidFill>
                </w14:textFill>
              </w:rPr>
              <w:t>×100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496" w:hRule="atLeast"/>
          <w:jc w:val="center"/>
        </w:trPr>
        <w:tc>
          <w:tcPr>
            <w:tcW w:w="817" w:type="dxa"/>
            <w:vMerge w:val="continue"/>
            <w:tcBorders>
              <w:right w:val="single" w:color="auto" w:sz="4" w:space="0"/>
            </w:tcBorders>
            <w:shd w:val="clear" w:color="auto" w:fill="auto"/>
            <w:vAlign w:val="center"/>
          </w:tcPr>
          <w:p>
            <w:pPr>
              <w:jc w:val="center"/>
              <w:rPr>
                <w:rFonts w:ascii="宋体"/>
                <w:color w:val="000000" w:themeColor="text1"/>
                <w14:textFill>
                  <w14:solidFill>
                    <w14:schemeClr w14:val="tx1"/>
                  </w14:solidFill>
                </w14:textFill>
              </w:rPr>
            </w:pPr>
          </w:p>
        </w:tc>
        <w:tc>
          <w:tcPr>
            <w:tcW w:w="817" w:type="dxa"/>
            <w:vMerge w:val="continue"/>
            <w:tcBorders>
              <w:left w:val="single" w:color="auto" w:sz="4" w:space="0"/>
            </w:tcBorders>
            <w:shd w:val="clear" w:color="auto" w:fill="auto"/>
            <w:vAlign w:val="center"/>
          </w:tcPr>
          <w:p>
            <w:pPr>
              <w:jc w:val="center"/>
              <w:rPr>
                <w:rFonts w:ascii="宋体"/>
                <w:color w:val="000000" w:themeColor="text1"/>
                <w:szCs w:val="21"/>
                <w14:textFill>
                  <w14:solidFill>
                    <w14:schemeClr w14:val="tx1"/>
                  </w14:solidFill>
                </w14:textFill>
              </w:rPr>
            </w:pPr>
          </w:p>
        </w:tc>
        <w:tc>
          <w:tcPr>
            <w:tcW w:w="2439" w:type="dxa"/>
            <w:vMerge w:val="continue"/>
            <w:vAlign w:val="center"/>
          </w:tcPr>
          <w:p>
            <w:pPr>
              <w:jc w:val="center"/>
              <w:rPr>
                <w:rFonts w:ascii="宋体"/>
                <w:color w:val="000000" w:themeColor="text1"/>
                <w:szCs w:val="21"/>
                <w14:textFill>
                  <w14:solidFill>
                    <w14:schemeClr w14:val="tx1"/>
                  </w14:solidFill>
                </w14:textFill>
              </w:rPr>
            </w:pPr>
          </w:p>
        </w:tc>
        <w:tc>
          <w:tcPr>
            <w:tcW w:w="5223" w:type="dxa"/>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注：</w:t>
            </w: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1、因落实政府采购政策进行价格调整的，以调整后的价格计算磋商基准价和最后报价；</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2、若货物为</w:t>
            </w:r>
            <w:r>
              <w:rPr>
                <w:rFonts w:hint="eastAsia" w:ascii="宋体" w:hAnsi="宋体"/>
                <w:color w:val="000000" w:themeColor="text1"/>
                <w:spacing w:val="6"/>
                <w:szCs w:val="21"/>
                <w14:textFill>
                  <w14:solidFill>
                    <w14:schemeClr w14:val="tx1"/>
                  </w14:solidFill>
                </w14:textFill>
              </w:rPr>
              <w:t>小微型企业（</w:t>
            </w:r>
            <w:r>
              <w:rPr>
                <w:rFonts w:hint="eastAsia" w:ascii="宋体" w:hAnsi="宋体"/>
                <w:color w:val="000000" w:themeColor="text1"/>
                <w14:textFill>
                  <w14:solidFill>
                    <w14:schemeClr w14:val="tx1"/>
                  </w14:solidFill>
                </w14:textFill>
              </w:rPr>
              <w:t>残疾人福利性单位、监狱企业</w:t>
            </w:r>
            <w:r>
              <w:rPr>
                <w:rFonts w:hint="eastAsia" w:ascii="宋体" w:hAnsi="宋体"/>
                <w:color w:val="000000" w:themeColor="text1"/>
                <w:spacing w:val="6"/>
                <w:szCs w:val="21"/>
                <w14:textFill>
                  <w14:solidFill>
                    <w14:schemeClr w14:val="tx1"/>
                  </w14:solidFill>
                </w14:textFill>
              </w:rPr>
              <w:t>）产品、服务，请按照格式如实填写中小企业声明函（详见第四章响应文件格式），经磋商小组核实</w:t>
            </w:r>
            <w:r>
              <w:rPr>
                <w:rFonts w:ascii="宋体" w:hAnsi="宋体"/>
                <w:color w:val="000000" w:themeColor="text1"/>
                <w:szCs w:val="21"/>
                <w14:textFill>
                  <w14:solidFill>
                    <w14:schemeClr w14:val="tx1"/>
                  </w14:solidFill>
                </w14:textFill>
              </w:rPr>
              <w:t>方可获得价格</w:t>
            </w:r>
            <w:r>
              <w:rPr>
                <w:rFonts w:hint="eastAsia" w:ascii="宋体"/>
                <w:color w:val="000000" w:themeColor="text1"/>
                <w14:textFill>
                  <w14:solidFill>
                    <w14:schemeClr w14:val="tx1"/>
                  </w14:solidFill>
                </w14:textFill>
              </w:rPr>
              <w:t>扣除</w:t>
            </w:r>
            <w:r>
              <w:rPr>
                <w:rFonts w:hint="eastAsia" w:ascii="宋体" w:hAnsi="宋体"/>
                <w:color w:val="000000" w:themeColor="text1"/>
                <w:szCs w:val="21"/>
                <w14:textFill>
                  <w14:solidFill>
                    <w14:schemeClr w14:val="tx1"/>
                  </w14:solidFill>
                </w14:textFill>
              </w:rPr>
              <w:t>；</w:t>
            </w:r>
          </w:p>
          <w:p>
            <w:pP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3、对小型和微型企业产品、服务的价格给予6%的扣除，用扣除后的价格参与评审</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如为</w:t>
            </w:r>
            <w:r>
              <w:rPr>
                <w:rFonts w:hint="eastAsia" w:asciiTheme="minorEastAsia" w:hAnsiTheme="minorEastAsia" w:eastAsiaTheme="minorEastAsia"/>
                <w:color w:val="000000" w:themeColor="text1"/>
                <w:spacing w:val="6"/>
                <w:szCs w:val="21"/>
                <w14:textFill>
                  <w14:solidFill>
                    <w14:schemeClr w14:val="tx1"/>
                  </w14:solidFill>
                </w14:textFill>
              </w:rPr>
              <w:t>联合体，联合协议中约定，小型、微型企业的协议合同金额占到联合体协议合同总金额30%以上的，可给予联合体</w:t>
            </w:r>
            <w:r>
              <w:rPr>
                <w:rFonts w:hint="eastAsia" w:asciiTheme="minorEastAsia" w:hAnsiTheme="minorEastAsia" w:eastAsiaTheme="minorEastAsia"/>
                <w:color w:val="000000" w:themeColor="text1"/>
                <w:spacing w:val="6"/>
                <w:szCs w:val="21"/>
                <w:u w:val="single"/>
                <w14:textFill>
                  <w14:solidFill>
                    <w14:schemeClr w14:val="tx1"/>
                  </w14:solidFill>
                </w14:textFill>
              </w:rPr>
              <w:t>2%</w:t>
            </w:r>
            <w:r>
              <w:rPr>
                <w:rFonts w:hint="eastAsia" w:asciiTheme="minorEastAsia" w:hAnsiTheme="minorEastAsia" w:eastAsiaTheme="minorEastAsia"/>
                <w:color w:val="000000" w:themeColor="text1"/>
                <w:spacing w:val="6"/>
                <w:szCs w:val="21"/>
                <w14:textFill>
                  <w14:solidFill>
                    <w14:schemeClr w14:val="tx1"/>
                  </w14:solidFill>
                </w14:textFill>
              </w:rPr>
              <w:t>的价格扣除</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4、残疾人福利性单位（监狱企业）产品、服务视同小型、微型企业产品、服务，享受同等价格扣除；</w:t>
            </w: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5、供应商仅能获得一种政策的价格扣除，不重复享受。</w:t>
            </w:r>
          </w:p>
        </w:tc>
      </w:tr>
    </w:tbl>
    <w:p>
      <w:pPr>
        <w:pStyle w:val="4"/>
        <w:numPr>
          <w:ilvl w:val="0"/>
          <w:numId w:val="0"/>
        </w:numPr>
        <w:spacing w:before="0" w:line="440" w:lineRule="exact"/>
        <w:ind w:left="425"/>
        <w:jc w:val="left"/>
        <w:rPr>
          <w:rFonts w:ascii="黑体"/>
          <w:sz w:val="24"/>
          <w:szCs w:val="24"/>
        </w:rPr>
      </w:pPr>
      <w:bookmarkStart w:id="344" w:name="_Toc28567"/>
      <w:r>
        <w:rPr>
          <w:rFonts w:hint="eastAsia" w:ascii="黑体"/>
          <w:sz w:val="24"/>
          <w:szCs w:val="24"/>
        </w:rPr>
        <w:t>1</w:t>
      </w:r>
      <w:bookmarkStart w:id="345" w:name="_Toc319506067"/>
      <w:bookmarkStart w:id="346" w:name="_Toc7804"/>
      <w:bookmarkStart w:id="347" w:name="_Toc421717787"/>
      <w:bookmarkStart w:id="348" w:name="_Toc7785"/>
      <w:bookmarkStart w:id="349" w:name="_Toc419364504"/>
      <w:r>
        <w:rPr>
          <w:rFonts w:hint="eastAsia" w:ascii="黑体"/>
          <w:sz w:val="24"/>
          <w:szCs w:val="24"/>
        </w:rPr>
        <w:t>. 评审方法：</w:t>
      </w:r>
      <w:bookmarkEnd w:id="344"/>
    </w:p>
    <w:bookmarkEnd w:id="345"/>
    <w:bookmarkEnd w:id="346"/>
    <w:bookmarkEnd w:id="347"/>
    <w:bookmarkEnd w:id="348"/>
    <w:bookmarkEnd w:id="349"/>
    <w:p>
      <w:pPr>
        <w:adjustRightInd w:val="0"/>
        <w:spacing w:line="440" w:lineRule="exact"/>
        <w:ind w:firstLine="480" w:firstLineChars="200"/>
        <w:rPr>
          <w:rFonts w:ascii="宋体"/>
          <w:sz w:val="24"/>
        </w:rPr>
      </w:pPr>
      <w:r>
        <w:rPr>
          <w:rFonts w:hint="eastAsia" w:ascii="宋体"/>
          <w:sz w:val="24"/>
        </w:rPr>
        <w:t>本次评审采用综合评分法。磋商小组会对通过资格审查、符合性审查的响应文件，按照本章第2.3 款规定的评分标准进行打分，并按评审得分由高到低顺序推荐成交候选人；评审得分相同的，按最后报价由低到高顺序排列。评审得分且最后报价相同的，由采购人按照以下原则确定成交供应商：依据云财采［2019］9号文，原则上鼓励优先采购聘用建档立卡贫困人员公司提供的服务</w:t>
      </w:r>
      <w:r>
        <w:rPr>
          <w:rFonts w:hint="eastAsia" w:ascii="宋体" w:hAnsi="宋体"/>
          <w:sz w:val="24"/>
        </w:rPr>
        <w:t>。</w:t>
      </w:r>
    </w:p>
    <w:p>
      <w:pPr>
        <w:pStyle w:val="4"/>
        <w:numPr>
          <w:ilvl w:val="0"/>
          <w:numId w:val="0"/>
        </w:numPr>
        <w:spacing w:before="0" w:line="440" w:lineRule="exact"/>
        <w:ind w:left="425"/>
        <w:jc w:val="left"/>
        <w:rPr>
          <w:rFonts w:ascii="黑体"/>
          <w:sz w:val="24"/>
          <w:szCs w:val="24"/>
        </w:rPr>
      </w:pPr>
      <w:bookmarkStart w:id="350" w:name="_Toc21625"/>
      <w:r>
        <w:rPr>
          <w:rFonts w:hint="eastAsia" w:ascii="黑体"/>
          <w:sz w:val="24"/>
          <w:szCs w:val="24"/>
        </w:rPr>
        <w:t>2</w:t>
      </w:r>
      <w:bookmarkStart w:id="351" w:name="_Toc421717788"/>
      <w:bookmarkStart w:id="352" w:name="_Toc17311"/>
      <w:bookmarkStart w:id="353" w:name="_Toc14332"/>
      <w:bookmarkStart w:id="354" w:name="_Toc419364505"/>
      <w:r>
        <w:rPr>
          <w:rFonts w:hint="eastAsia" w:ascii="黑体"/>
          <w:sz w:val="24"/>
          <w:szCs w:val="24"/>
        </w:rPr>
        <w:t>. 评审标准</w:t>
      </w:r>
      <w:bookmarkEnd w:id="350"/>
    </w:p>
    <w:bookmarkEnd w:id="351"/>
    <w:bookmarkEnd w:id="352"/>
    <w:bookmarkEnd w:id="353"/>
    <w:bookmarkEnd w:id="354"/>
    <w:p>
      <w:pPr>
        <w:adjustRightInd w:val="0"/>
        <w:spacing w:line="440" w:lineRule="exact"/>
        <w:ind w:firstLine="480" w:firstLineChars="200"/>
        <w:rPr>
          <w:rFonts w:ascii="宋体"/>
          <w:sz w:val="24"/>
        </w:rPr>
      </w:pPr>
      <w:r>
        <w:rPr>
          <w:rFonts w:hint="eastAsia" w:ascii="宋体"/>
          <w:sz w:val="24"/>
        </w:rPr>
        <w:t>2</w:t>
      </w:r>
      <w:bookmarkStart w:id="355" w:name="_Toc319506070"/>
      <w:bookmarkStart w:id="356" w:name="_Toc419364507"/>
      <w:bookmarkStart w:id="357" w:name="_Toc421717790"/>
      <w:r>
        <w:rPr>
          <w:rFonts w:hint="eastAsia" w:ascii="宋体"/>
          <w:sz w:val="24"/>
        </w:rPr>
        <w:t>.1 资格审查标准</w:t>
      </w:r>
    </w:p>
    <w:p>
      <w:pPr>
        <w:adjustRightInd w:val="0"/>
        <w:spacing w:line="440" w:lineRule="exact"/>
        <w:ind w:firstLine="480" w:firstLineChars="200"/>
        <w:rPr>
          <w:rFonts w:ascii="宋体"/>
          <w:sz w:val="24"/>
        </w:rPr>
      </w:pPr>
      <w:r>
        <w:rPr>
          <w:rFonts w:hint="eastAsia" w:ascii="宋体"/>
          <w:sz w:val="24"/>
        </w:rPr>
        <w:t>资格审查标准：依据法律法规和磋商文件的规定，对响应文件中的资格证明文件、投标保证金等进行审查，以确定供应商是否具备磋商资格；见评审办法前附表。</w:t>
      </w:r>
    </w:p>
    <w:p>
      <w:pPr>
        <w:adjustRightInd w:val="0"/>
        <w:spacing w:line="440" w:lineRule="exact"/>
        <w:ind w:firstLine="480" w:firstLineChars="200"/>
        <w:rPr>
          <w:rFonts w:ascii="宋体"/>
          <w:sz w:val="24"/>
        </w:rPr>
      </w:pPr>
      <w:r>
        <w:rPr>
          <w:rFonts w:hint="eastAsia" w:ascii="宋体"/>
          <w:sz w:val="24"/>
        </w:rPr>
        <w:t>2.2 符合性审查标准</w:t>
      </w:r>
      <w:r>
        <w:rPr>
          <w:rFonts w:hint="eastAsia" w:ascii="宋体"/>
          <w:sz w:val="24"/>
        </w:rPr>
        <w:tab/>
      </w:r>
    </w:p>
    <w:p>
      <w:pPr>
        <w:adjustRightInd w:val="0"/>
        <w:spacing w:line="440" w:lineRule="exact"/>
        <w:ind w:firstLine="480" w:firstLineChars="200"/>
        <w:rPr>
          <w:rFonts w:ascii="宋体"/>
          <w:sz w:val="24"/>
        </w:rPr>
      </w:pPr>
      <w:r>
        <w:rPr>
          <w:rFonts w:hint="eastAsia" w:ascii="宋体"/>
          <w:sz w:val="24"/>
        </w:rPr>
        <w:t>符合性审查标准：依据磋商文件的规定，从响应文件的有效性、完整性和对磋商文件的响应程度进行审查，以确定是否对磋商文件的实质性要求作出响应；见评审办法前附表。</w:t>
      </w:r>
    </w:p>
    <w:p>
      <w:pPr>
        <w:adjustRightInd w:val="0"/>
        <w:spacing w:line="440" w:lineRule="exact"/>
        <w:ind w:firstLine="480" w:firstLineChars="200"/>
        <w:rPr>
          <w:rFonts w:ascii="宋体"/>
          <w:sz w:val="24"/>
        </w:rPr>
      </w:pPr>
      <w:r>
        <w:rPr>
          <w:rFonts w:hint="eastAsia" w:ascii="宋体"/>
          <w:sz w:val="24"/>
        </w:rPr>
        <w:t>2.3 分值构成与评分标准</w:t>
      </w:r>
    </w:p>
    <w:bookmarkEnd w:id="355"/>
    <w:bookmarkEnd w:id="356"/>
    <w:bookmarkEnd w:id="357"/>
    <w:p>
      <w:pPr>
        <w:pStyle w:val="15"/>
        <w:tabs>
          <w:tab w:val="left" w:pos="2472"/>
        </w:tabs>
        <w:spacing w:line="440" w:lineRule="exact"/>
        <w:ind w:firstLine="480" w:firstLineChars="200"/>
        <w:rPr>
          <w:sz w:val="24"/>
        </w:rPr>
      </w:pPr>
      <w:r>
        <w:rPr>
          <w:rFonts w:hint="eastAsia"/>
          <w:sz w:val="24"/>
        </w:rPr>
        <w:t>2.3.1 分值构成</w:t>
      </w:r>
    </w:p>
    <w:p>
      <w:pPr>
        <w:pStyle w:val="15"/>
        <w:tabs>
          <w:tab w:val="left" w:pos="2472"/>
        </w:tabs>
        <w:spacing w:line="440" w:lineRule="exact"/>
        <w:ind w:firstLine="480" w:firstLineChars="200"/>
        <w:rPr>
          <w:sz w:val="24"/>
        </w:rPr>
      </w:pPr>
      <w:r>
        <w:rPr>
          <w:rFonts w:hint="eastAsia"/>
          <w:sz w:val="24"/>
        </w:rPr>
        <w:t>（1）技术部分：见评审办法前附表；</w:t>
      </w:r>
    </w:p>
    <w:p>
      <w:pPr>
        <w:pStyle w:val="15"/>
        <w:tabs>
          <w:tab w:val="left" w:pos="2472"/>
        </w:tabs>
        <w:spacing w:line="440" w:lineRule="exact"/>
        <w:ind w:firstLine="480" w:firstLineChars="200"/>
        <w:rPr>
          <w:sz w:val="24"/>
        </w:rPr>
      </w:pPr>
      <w:r>
        <w:rPr>
          <w:rFonts w:hint="eastAsia"/>
          <w:sz w:val="24"/>
        </w:rPr>
        <w:t>（2）服务及信誉部分：见评审办法前附表；</w:t>
      </w:r>
    </w:p>
    <w:p>
      <w:pPr>
        <w:pStyle w:val="15"/>
        <w:tabs>
          <w:tab w:val="left" w:pos="2472"/>
        </w:tabs>
        <w:spacing w:line="440" w:lineRule="exact"/>
        <w:ind w:firstLine="480" w:firstLineChars="200"/>
        <w:rPr>
          <w:sz w:val="24"/>
        </w:rPr>
      </w:pPr>
      <w:r>
        <w:rPr>
          <w:rFonts w:hint="eastAsia"/>
          <w:sz w:val="24"/>
        </w:rPr>
        <w:t>（3）最后报价：见评审办法前附表。</w:t>
      </w:r>
    </w:p>
    <w:p>
      <w:pPr>
        <w:pStyle w:val="15"/>
        <w:tabs>
          <w:tab w:val="left" w:pos="2472"/>
        </w:tabs>
        <w:spacing w:line="440" w:lineRule="exact"/>
        <w:ind w:firstLine="480" w:firstLineChars="200"/>
        <w:rPr>
          <w:sz w:val="24"/>
        </w:rPr>
      </w:pPr>
      <w:r>
        <w:rPr>
          <w:rFonts w:hint="eastAsia"/>
          <w:sz w:val="24"/>
        </w:rPr>
        <w:t>2.3.2 评分标准</w:t>
      </w:r>
    </w:p>
    <w:p>
      <w:pPr>
        <w:pStyle w:val="15"/>
        <w:tabs>
          <w:tab w:val="left" w:pos="2472"/>
        </w:tabs>
        <w:spacing w:line="440" w:lineRule="exact"/>
        <w:ind w:firstLine="480" w:firstLineChars="200"/>
        <w:rPr>
          <w:sz w:val="24"/>
        </w:rPr>
      </w:pPr>
      <w:r>
        <w:rPr>
          <w:sz w:val="24"/>
        </w:rPr>
        <w:t>按</w:t>
      </w:r>
      <w:r>
        <w:rPr>
          <w:rFonts w:hint="eastAsia"/>
          <w:sz w:val="24"/>
        </w:rPr>
        <w:t>竞争性磋商</w:t>
      </w:r>
      <w:r>
        <w:rPr>
          <w:sz w:val="24"/>
        </w:rPr>
        <w:t>文件中规定的评审方法和标准，对资格</w:t>
      </w:r>
      <w:r>
        <w:rPr>
          <w:rFonts w:hint="eastAsia"/>
          <w:sz w:val="24"/>
        </w:rPr>
        <w:t>评审</w:t>
      </w:r>
      <w:r>
        <w:rPr>
          <w:sz w:val="24"/>
        </w:rPr>
        <w:t>和符合性</w:t>
      </w:r>
      <w:r>
        <w:rPr>
          <w:rFonts w:hint="eastAsia"/>
          <w:sz w:val="24"/>
        </w:rPr>
        <w:t>评审</w:t>
      </w:r>
      <w:r>
        <w:rPr>
          <w:sz w:val="24"/>
        </w:rPr>
        <w:t>合格的响应文件进行商务和技术评估，综合比较与评价</w:t>
      </w:r>
      <w:r>
        <w:rPr>
          <w:rFonts w:hint="eastAsia"/>
          <w:sz w:val="24"/>
        </w:rPr>
        <w:t>。</w:t>
      </w:r>
    </w:p>
    <w:p>
      <w:pPr>
        <w:pStyle w:val="15"/>
        <w:tabs>
          <w:tab w:val="left" w:pos="2472"/>
        </w:tabs>
        <w:spacing w:line="440" w:lineRule="exact"/>
        <w:ind w:firstLine="480" w:firstLineChars="200"/>
        <w:rPr>
          <w:sz w:val="24"/>
        </w:rPr>
      </w:pPr>
      <w:r>
        <w:rPr>
          <w:rFonts w:hint="eastAsia"/>
          <w:sz w:val="24"/>
        </w:rPr>
        <w:t>（1）技术部分评分标准：见评审办法前附表；</w:t>
      </w:r>
    </w:p>
    <w:p>
      <w:pPr>
        <w:pStyle w:val="15"/>
        <w:tabs>
          <w:tab w:val="left" w:pos="2472"/>
        </w:tabs>
        <w:spacing w:line="440" w:lineRule="exact"/>
        <w:ind w:firstLine="480" w:firstLineChars="200"/>
        <w:rPr>
          <w:sz w:val="24"/>
        </w:rPr>
      </w:pPr>
      <w:r>
        <w:rPr>
          <w:rFonts w:hint="eastAsia"/>
          <w:sz w:val="24"/>
        </w:rPr>
        <w:t>（2）服务及信誉部分评分标准：见评审办法前附表；</w:t>
      </w:r>
    </w:p>
    <w:p>
      <w:pPr>
        <w:pStyle w:val="15"/>
        <w:tabs>
          <w:tab w:val="left" w:pos="2472"/>
        </w:tabs>
        <w:spacing w:line="440" w:lineRule="exact"/>
        <w:ind w:firstLine="480" w:firstLineChars="200"/>
        <w:rPr>
          <w:sz w:val="24"/>
        </w:rPr>
      </w:pPr>
      <w:r>
        <w:rPr>
          <w:rFonts w:hint="eastAsia"/>
          <w:sz w:val="24"/>
        </w:rPr>
        <w:t>（3）最后报价评分标准：见评审办法前附表。</w:t>
      </w:r>
    </w:p>
    <w:p>
      <w:pPr>
        <w:pStyle w:val="15"/>
        <w:tabs>
          <w:tab w:val="left" w:pos="2472"/>
        </w:tabs>
        <w:spacing w:line="440" w:lineRule="exact"/>
        <w:ind w:firstLine="480" w:firstLineChars="200"/>
        <w:rPr>
          <w:sz w:val="24"/>
        </w:rPr>
      </w:pPr>
      <w:r>
        <w:rPr>
          <w:rFonts w:hint="eastAsia"/>
          <w:sz w:val="24"/>
        </w:rPr>
        <w:t>2.3.3评审基准价计算方法：见评审办法前附表。</w:t>
      </w:r>
    </w:p>
    <w:p>
      <w:pPr>
        <w:pStyle w:val="4"/>
        <w:numPr>
          <w:ilvl w:val="0"/>
          <w:numId w:val="0"/>
        </w:numPr>
        <w:spacing w:before="0" w:line="440" w:lineRule="exact"/>
        <w:ind w:left="425"/>
        <w:jc w:val="left"/>
        <w:rPr>
          <w:rFonts w:ascii="黑体"/>
          <w:sz w:val="24"/>
          <w:szCs w:val="24"/>
        </w:rPr>
      </w:pPr>
      <w:bookmarkStart w:id="358" w:name="_Toc12821"/>
      <w:r>
        <w:rPr>
          <w:rFonts w:hint="eastAsia" w:ascii="黑体"/>
          <w:sz w:val="24"/>
          <w:szCs w:val="24"/>
        </w:rPr>
        <w:t>3</w:t>
      </w:r>
      <w:bookmarkStart w:id="359" w:name="_Toc421717791"/>
      <w:bookmarkStart w:id="360" w:name="_Toc12081"/>
      <w:bookmarkStart w:id="361" w:name="_Toc6660"/>
      <w:bookmarkStart w:id="362" w:name="_Toc419364508"/>
      <w:r>
        <w:rPr>
          <w:rFonts w:hint="eastAsia" w:ascii="黑体"/>
          <w:sz w:val="24"/>
          <w:szCs w:val="24"/>
        </w:rPr>
        <w:t>. 评审程序</w:t>
      </w:r>
      <w:bookmarkEnd w:id="358"/>
    </w:p>
    <w:bookmarkEnd w:id="359"/>
    <w:bookmarkEnd w:id="360"/>
    <w:bookmarkEnd w:id="361"/>
    <w:bookmarkEnd w:id="362"/>
    <w:p>
      <w:pPr>
        <w:pStyle w:val="116"/>
        <w:snapToGrid w:val="0"/>
        <w:spacing w:line="440" w:lineRule="exact"/>
        <w:ind w:firstLine="470" w:firstLineChars="196"/>
        <w:rPr>
          <w:rFonts w:hAnsi="宋体"/>
          <w:b/>
          <w:sz w:val="24"/>
        </w:rPr>
      </w:pPr>
      <w:r>
        <w:rPr>
          <w:rFonts w:hint="eastAsia" w:hAnsi="宋体"/>
          <w:b/>
          <w:sz w:val="24"/>
        </w:rPr>
        <w:t>3.1 资格审查</w:t>
      </w:r>
    </w:p>
    <w:p>
      <w:pPr>
        <w:pStyle w:val="15"/>
        <w:tabs>
          <w:tab w:val="left" w:pos="2472"/>
        </w:tabs>
        <w:spacing w:line="440" w:lineRule="exact"/>
        <w:ind w:firstLine="480" w:firstLineChars="200"/>
        <w:rPr>
          <w:sz w:val="24"/>
        </w:rPr>
      </w:pPr>
      <w:r>
        <w:rPr>
          <w:rFonts w:hint="eastAsia"/>
          <w:sz w:val="24"/>
        </w:rPr>
        <w:t>磋商小组依据本章第2.1项规定的标准对响应文件进行资格审查。有一项不符合评审标准的，响应文件无效。</w:t>
      </w:r>
    </w:p>
    <w:p>
      <w:pPr>
        <w:pStyle w:val="15"/>
        <w:tabs>
          <w:tab w:val="left" w:pos="2472"/>
        </w:tabs>
        <w:spacing w:line="440" w:lineRule="exact"/>
        <w:ind w:firstLine="480" w:firstLineChars="200"/>
        <w:rPr>
          <w:sz w:val="24"/>
        </w:rPr>
      </w:pPr>
      <w:r>
        <w:rPr>
          <w:rFonts w:hint="eastAsia"/>
          <w:sz w:val="24"/>
        </w:rPr>
        <w:t>注：合格供应商不足</w:t>
      </w:r>
      <w:r>
        <w:rPr>
          <w:rFonts w:hint="eastAsia"/>
          <w:color w:val="000000" w:themeColor="text1"/>
          <w:sz w:val="24"/>
          <w14:textFill>
            <w14:solidFill>
              <w14:schemeClr w14:val="tx1"/>
            </w14:solidFill>
          </w14:textFill>
        </w:rPr>
        <w:t>2家的</w:t>
      </w:r>
      <w:r>
        <w:rPr>
          <w:rFonts w:hint="eastAsia"/>
          <w:sz w:val="24"/>
        </w:rPr>
        <w:t>，不再进入下一评审程序，项目终止。</w:t>
      </w:r>
    </w:p>
    <w:p>
      <w:pPr>
        <w:pStyle w:val="116"/>
        <w:snapToGrid w:val="0"/>
        <w:spacing w:line="440" w:lineRule="exact"/>
        <w:ind w:firstLine="470" w:firstLineChars="196"/>
        <w:rPr>
          <w:rFonts w:hAnsi="宋体"/>
          <w:b/>
          <w:sz w:val="24"/>
        </w:rPr>
      </w:pPr>
      <w:r>
        <w:rPr>
          <w:rFonts w:hint="eastAsia" w:hAnsi="宋体"/>
          <w:b/>
          <w:sz w:val="24"/>
        </w:rPr>
        <w:t>3.2 符合性审查</w:t>
      </w:r>
    </w:p>
    <w:p>
      <w:pPr>
        <w:pStyle w:val="116"/>
        <w:snapToGrid w:val="0"/>
        <w:spacing w:line="440" w:lineRule="exact"/>
        <w:ind w:firstLine="480" w:firstLineChars="200"/>
        <w:rPr>
          <w:kern w:val="0"/>
          <w:sz w:val="24"/>
        </w:rPr>
      </w:pPr>
      <w:r>
        <w:rPr>
          <w:rFonts w:hint="eastAsia"/>
          <w:kern w:val="0"/>
          <w:sz w:val="24"/>
        </w:rPr>
        <w:t>磋商小组依据本章第2.2项规定的标准对资格审查合格的响应文件进行符合性审查。有一项不符合评审标准的，响应文件无效。</w:t>
      </w:r>
    </w:p>
    <w:p>
      <w:pPr>
        <w:pStyle w:val="116"/>
        <w:snapToGrid w:val="0"/>
        <w:spacing w:line="440" w:lineRule="exact"/>
        <w:rPr>
          <w:rFonts w:hAnsi="宋体"/>
          <w:b/>
          <w:sz w:val="24"/>
        </w:rPr>
      </w:pPr>
      <w:r>
        <w:rPr>
          <w:rFonts w:hint="eastAsia" w:hAnsi="宋体"/>
          <w:b/>
          <w:sz w:val="24"/>
        </w:rPr>
        <w:t>3.3 磋商</w:t>
      </w:r>
    </w:p>
    <w:p>
      <w:pPr>
        <w:pStyle w:val="15"/>
        <w:tabs>
          <w:tab w:val="left" w:pos="2472"/>
        </w:tabs>
        <w:spacing w:line="440" w:lineRule="exact"/>
        <w:ind w:firstLine="480" w:firstLineChars="200"/>
        <w:rPr>
          <w:sz w:val="24"/>
        </w:rPr>
      </w:pPr>
      <w:r>
        <w:rPr>
          <w:rFonts w:hint="eastAsia"/>
          <w:sz w:val="24"/>
        </w:rPr>
        <w:t>3.3.1磋商小组所有成员集中与通过资格审查、符合性审查的单一供应商分别进行磋商。在磋商中，磋商的任何一方不得透露与磋商有关的其他供应商的技术资料、价格、折扣和其他信息。</w:t>
      </w:r>
    </w:p>
    <w:p>
      <w:pPr>
        <w:pStyle w:val="15"/>
        <w:tabs>
          <w:tab w:val="left" w:pos="2472"/>
        </w:tabs>
        <w:spacing w:line="440" w:lineRule="exact"/>
        <w:ind w:firstLine="480" w:firstLineChars="200"/>
        <w:rPr>
          <w:sz w:val="24"/>
        </w:rPr>
      </w:pPr>
      <w:r>
        <w:rPr>
          <w:rFonts w:hint="eastAsia"/>
          <w:sz w:val="24"/>
        </w:rPr>
        <w:t>3.3.2磋商文件有实质性变动的，磋商小组将以书面形式通知所有参加磋商的供应商。但不得对涉及竞争的公平、公正性内容进行修改、变动。</w:t>
      </w:r>
    </w:p>
    <w:p>
      <w:pPr>
        <w:pStyle w:val="15"/>
        <w:tabs>
          <w:tab w:val="left" w:pos="2472"/>
        </w:tabs>
        <w:spacing w:line="440" w:lineRule="exact"/>
        <w:ind w:firstLine="480" w:firstLineChars="200"/>
        <w:rPr>
          <w:sz w:val="24"/>
        </w:rPr>
      </w:pPr>
      <w:r>
        <w:rPr>
          <w:rFonts w:hint="eastAsia"/>
          <w:sz w:val="24"/>
        </w:rPr>
        <w:t>3.3.3为有助于对响应文件的审查、评价和比较，磋商小组可对供应商分别进行技术询问、澄清，有关要求和答复均现场进行。</w:t>
      </w:r>
    </w:p>
    <w:p>
      <w:pPr>
        <w:pStyle w:val="15"/>
        <w:tabs>
          <w:tab w:val="left" w:pos="2472"/>
        </w:tabs>
        <w:spacing w:line="440" w:lineRule="exact"/>
        <w:ind w:firstLine="480" w:firstLineChars="200"/>
        <w:rPr>
          <w:sz w:val="24"/>
        </w:rPr>
      </w:pPr>
      <w:r>
        <w:rPr>
          <w:rFonts w:hint="eastAsia"/>
          <w:sz w:val="24"/>
        </w:rPr>
        <w:t>3.3.4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不接受供应商主动提出的澄清、说明或补正。</w:t>
      </w:r>
    </w:p>
    <w:p>
      <w:pPr>
        <w:pStyle w:val="15"/>
        <w:tabs>
          <w:tab w:val="left" w:pos="2472"/>
        </w:tabs>
        <w:spacing w:line="440" w:lineRule="exact"/>
        <w:ind w:firstLine="480" w:firstLineChars="200"/>
        <w:rPr>
          <w:sz w:val="24"/>
        </w:rPr>
      </w:pPr>
      <w:r>
        <w:rPr>
          <w:rFonts w:hint="eastAsia"/>
          <w:sz w:val="24"/>
        </w:rPr>
        <w:t>3.3.5供应商的书面澄清、说明和补正属于响应文件的组成部分。</w:t>
      </w:r>
    </w:p>
    <w:p>
      <w:pPr>
        <w:pStyle w:val="15"/>
        <w:tabs>
          <w:tab w:val="left" w:pos="2472"/>
        </w:tabs>
        <w:spacing w:line="440" w:lineRule="exact"/>
        <w:ind w:firstLine="480" w:firstLineChars="200"/>
        <w:rPr>
          <w:sz w:val="24"/>
        </w:rPr>
      </w:pPr>
      <w:r>
        <w:rPr>
          <w:rFonts w:hint="eastAsia"/>
          <w:sz w:val="24"/>
        </w:rPr>
        <w:t>3.3.6磋商小组将要求所有供应商在规定时间内进行最后报价，并对响应文件及供应商按要求提交的澄清、说明或补正进行综合比较和评价。</w:t>
      </w:r>
    </w:p>
    <w:p>
      <w:pPr>
        <w:pStyle w:val="15"/>
        <w:tabs>
          <w:tab w:val="left" w:pos="2472"/>
        </w:tabs>
        <w:spacing w:line="440" w:lineRule="exact"/>
        <w:ind w:firstLine="480" w:firstLineChars="200"/>
        <w:rPr>
          <w:sz w:val="24"/>
        </w:rPr>
      </w:pPr>
      <w:r>
        <w:rPr>
          <w:rFonts w:hint="eastAsia"/>
          <w:sz w:val="24"/>
        </w:rPr>
        <w:t>3.3.7 供应商不得哄抬报价，也不应低于成本价（或进价）报价。磋商小组认为供应商的最后报价明显低于其他通过符合性审查供应商的最后报价，有可能影响产品质量或者不能诚信履约的，应当要求其在评审现场合理的时间内提供书面说明，必要时提交相关证明材料；供应商不能证明其报价合理性的，磋商小组应当将其响应文件作为无效处理。</w:t>
      </w:r>
    </w:p>
    <w:p>
      <w:pPr>
        <w:pStyle w:val="116"/>
        <w:spacing w:line="440" w:lineRule="exact"/>
        <w:ind w:firstLine="470" w:firstLineChars="196"/>
        <w:rPr>
          <w:b/>
          <w:sz w:val="24"/>
        </w:rPr>
      </w:pPr>
      <w:r>
        <w:rPr>
          <w:rFonts w:hint="eastAsia"/>
          <w:b/>
          <w:sz w:val="24"/>
        </w:rPr>
        <w:t>3</w:t>
      </w:r>
      <w:bookmarkStart w:id="363" w:name="_Toc468805882"/>
      <w:r>
        <w:rPr>
          <w:rFonts w:hint="eastAsia"/>
          <w:b/>
          <w:sz w:val="24"/>
        </w:rPr>
        <w:t>.4</w:t>
      </w:r>
      <w:bookmarkEnd w:id="363"/>
      <w:r>
        <w:rPr>
          <w:rFonts w:hint="eastAsia"/>
          <w:b/>
          <w:sz w:val="24"/>
        </w:rPr>
        <w:t>商务和技术评估，综合比较与评价</w:t>
      </w:r>
    </w:p>
    <w:p>
      <w:pPr>
        <w:pStyle w:val="15"/>
        <w:tabs>
          <w:tab w:val="left" w:pos="2472"/>
        </w:tabs>
        <w:spacing w:line="440" w:lineRule="exact"/>
        <w:ind w:firstLine="480" w:firstLineChars="200"/>
        <w:rPr>
          <w:sz w:val="24"/>
        </w:rPr>
      </w:pPr>
      <w:r>
        <w:rPr>
          <w:rFonts w:hint="eastAsia"/>
          <w:sz w:val="24"/>
        </w:rPr>
        <w:t>（1）经磋商确定最终采购需求和提交最后报价的供应商后，磋商小组</w:t>
      </w:r>
      <w:r>
        <w:rPr>
          <w:sz w:val="24"/>
        </w:rPr>
        <w:t>按</w:t>
      </w:r>
      <w:r>
        <w:rPr>
          <w:rFonts w:hint="eastAsia"/>
          <w:sz w:val="24"/>
        </w:rPr>
        <w:t>本章第2.3.2款规定的量化因素和分值进行打分，并计算出供应商的评审总得分。</w:t>
      </w:r>
    </w:p>
    <w:p>
      <w:pPr>
        <w:pStyle w:val="15"/>
        <w:spacing w:line="440" w:lineRule="exact"/>
        <w:ind w:firstLine="480" w:firstLineChars="200"/>
        <w:rPr>
          <w:sz w:val="24"/>
        </w:rPr>
      </w:pPr>
      <w:r>
        <w:rPr>
          <w:rFonts w:hint="eastAsia"/>
          <w:sz w:val="24"/>
        </w:rPr>
        <w:t>a.</w:t>
      </w:r>
      <w:r>
        <w:rPr>
          <w:sz w:val="24"/>
        </w:rPr>
        <w:t>按本章第2.</w:t>
      </w:r>
      <w:r>
        <w:rPr>
          <w:rFonts w:hint="eastAsia"/>
          <w:sz w:val="24"/>
        </w:rPr>
        <w:t>3</w:t>
      </w:r>
      <w:r>
        <w:rPr>
          <w:sz w:val="24"/>
        </w:rPr>
        <w:t>.</w:t>
      </w:r>
      <w:r>
        <w:rPr>
          <w:rFonts w:hint="eastAsia"/>
          <w:sz w:val="24"/>
        </w:rPr>
        <w:t>2</w:t>
      </w:r>
      <w:r>
        <w:rPr>
          <w:sz w:val="24"/>
        </w:rPr>
        <w:t>（1）目规定的评审因素和分值对技术部分计算出得分F1；</w:t>
      </w:r>
    </w:p>
    <w:p>
      <w:pPr>
        <w:pStyle w:val="15"/>
        <w:tabs>
          <w:tab w:val="left" w:pos="2472"/>
        </w:tabs>
        <w:spacing w:line="440" w:lineRule="exact"/>
        <w:ind w:firstLine="480" w:firstLineChars="200"/>
        <w:rPr>
          <w:sz w:val="24"/>
        </w:rPr>
      </w:pPr>
      <w:r>
        <w:rPr>
          <w:rFonts w:hint="eastAsia"/>
          <w:sz w:val="24"/>
        </w:rPr>
        <w:t>b.</w:t>
      </w:r>
      <w:r>
        <w:rPr>
          <w:sz w:val="24"/>
        </w:rPr>
        <w:t>按本章第2.</w:t>
      </w:r>
      <w:r>
        <w:rPr>
          <w:rFonts w:hint="eastAsia"/>
          <w:sz w:val="24"/>
        </w:rPr>
        <w:t>3</w:t>
      </w:r>
      <w:r>
        <w:rPr>
          <w:sz w:val="24"/>
        </w:rPr>
        <w:t>.</w:t>
      </w:r>
      <w:r>
        <w:rPr>
          <w:rFonts w:hint="eastAsia"/>
          <w:sz w:val="24"/>
        </w:rPr>
        <w:t>2</w:t>
      </w:r>
      <w:r>
        <w:rPr>
          <w:sz w:val="24"/>
        </w:rPr>
        <w:t>（2）目规定的评审因素和分值对</w:t>
      </w:r>
      <w:r>
        <w:rPr>
          <w:rFonts w:hint="eastAsia"/>
          <w:sz w:val="24"/>
        </w:rPr>
        <w:t>服务及信誉</w:t>
      </w:r>
      <w:r>
        <w:rPr>
          <w:sz w:val="24"/>
        </w:rPr>
        <w:t>部分计算出得分F2；</w:t>
      </w:r>
    </w:p>
    <w:p>
      <w:pPr>
        <w:pStyle w:val="15"/>
        <w:tabs>
          <w:tab w:val="left" w:pos="2472"/>
        </w:tabs>
        <w:spacing w:line="440" w:lineRule="exact"/>
        <w:ind w:firstLine="480" w:firstLineChars="200"/>
        <w:rPr>
          <w:sz w:val="24"/>
        </w:rPr>
      </w:pPr>
      <w:r>
        <w:rPr>
          <w:rFonts w:hint="eastAsia"/>
          <w:sz w:val="24"/>
        </w:rPr>
        <w:t>c.按本章第2.3.2（3）目规定的评审因素和分值对最后报价部分计算出得分F3；</w:t>
      </w:r>
    </w:p>
    <w:p>
      <w:pPr>
        <w:pStyle w:val="15"/>
        <w:tabs>
          <w:tab w:val="left" w:pos="2472"/>
        </w:tabs>
        <w:spacing w:line="440" w:lineRule="exact"/>
        <w:ind w:left="1080" w:hanging="600"/>
        <w:rPr>
          <w:sz w:val="24"/>
        </w:rPr>
      </w:pPr>
      <w:r>
        <w:rPr>
          <w:rFonts w:hint="eastAsia"/>
          <w:sz w:val="24"/>
        </w:rPr>
        <w:t>d.按本章第2.3.1项所列公式计算评审总得分。</w:t>
      </w:r>
    </w:p>
    <w:p>
      <w:pPr>
        <w:spacing w:line="440" w:lineRule="exact"/>
        <w:ind w:firstLine="480" w:firstLineChars="200"/>
        <w:jc w:val="left"/>
        <w:rPr>
          <w:sz w:val="24"/>
        </w:rPr>
      </w:pPr>
      <w:r>
        <w:rPr>
          <w:rFonts w:hint="eastAsia" w:ascii="宋体"/>
          <w:sz w:val="24"/>
        </w:rPr>
        <w:t>（2）</w:t>
      </w:r>
      <w:r>
        <w:rPr>
          <w:rFonts w:hint="eastAsia"/>
          <w:sz w:val="24"/>
        </w:rPr>
        <w:t>技术部分（F1）和服务及信誉部分（F2）得分由磋商小组成员独立评分，计算各供应商得分的算术平均值计入各供应商总分。</w:t>
      </w:r>
      <w:r>
        <w:rPr>
          <w:sz w:val="24"/>
        </w:rPr>
        <w:t>评分分值计算保留小数点后两位，小数点后第三</w:t>
      </w:r>
      <w:r>
        <w:rPr>
          <w:rFonts w:ascii="宋体" w:hAnsi="宋体"/>
          <w:sz w:val="24"/>
        </w:rPr>
        <w:t>位“四舍五入”</w:t>
      </w:r>
      <w:r>
        <w:rPr>
          <w:sz w:val="24"/>
        </w:rPr>
        <w:t>。</w:t>
      </w:r>
    </w:p>
    <w:p>
      <w:pPr>
        <w:pStyle w:val="116"/>
        <w:snapToGrid w:val="0"/>
        <w:spacing w:line="440" w:lineRule="exact"/>
        <w:ind w:firstLine="470" w:firstLineChars="196"/>
        <w:rPr>
          <w:rFonts w:hAnsi="宋体"/>
          <w:b/>
          <w:sz w:val="24"/>
        </w:rPr>
      </w:pPr>
      <w:r>
        <w:rPr>
          <w:rFonts w:hint="eastAsia" w:hAnsi="宋体"/>
          <w:b/>
          <w:sz w:val="24"/>
        </w:rPr>
        <w:t>3.5供应商有以下情形之一的，取消其磋商资格：</w:t>
      </w:r>
    </w:p>
    <w:p>
      <w:pPr>
        <w:pStyle w:val="15"/>
        <w:tabs>
          <w:tab w:val="left" w:pos="2472"/>
        </w:tabs>
        <w:spacing w:line="440" w:lineRule="exact"/>
        <w:ind w:firstLine="480" w:firstLineChars="200"/>
        <w:rPr>
          <w:sz w:val="24"/>
        </w:rPr>
      </w:pPr>
      <w:r>
        <w:rPr>
          <w:rFonts w:hint="eastAsia"/>
          <w:sz w:val="24"/>
        </w:rPr>
        <w:t>（1）串通报价或弄虚作假或有其他违法行为的；</w:t>
      </w:r>
    </w:p>
    <w:p>
      <w:pPr>
        <w:pStyle w:val="15"/>
        <w:tabs>
          <w:tab w:val="left" w:pos="2472"/>
        </w:tabs>
        <w:spacing w:line="440" w:lineRule="exact"/>
        <w:ind w:firstLine="480" w:firstLineChars="200"/>
        <w:rPr>
          <w:sz w:val="24"/>
        </w:rPr>
      </w:pPr>
      <w:r>
        <w:rPr>
          <w:rFonts w:hint="eastAsia"/>
          <w:sz w:val="24"/>
        </w:rPr>
        <w:t>（2）不按磋商小组要求澄清、说明或补正的。</w:t>
      </w:r>
    </w:p>
    <w:p>
      <w:pPr>
        <w:pStyle w:val="116"/>
        <w:snapToGrid w:val="0"/>
        <w:spacing w:line="440" w:lineRule="exact"/>
        <w:ind w:firstLine="470" w:firstLineChars="196"/>
        <w:rPr>
          <w:rFonts w:hAnsi="宋体"/>
          <w:b/>
          <w:sz w:val="24"/>
        </w:rPr>
      </w:pPr>
      <w:r>
        <w:rPr>
          <w:rFonts w:hint="eastAsia" w:hAnsi="宋体"/>
          <w:b/>
          <w:sz w:val="24"/>
        </w:rPr>
        <w:t>3.6</w:t>
      </w:r>
      <w:r>
        <w:rPr>
          <w:rFonts w:hAnsi="宋体"/>
          <w:b/>
          <w:sz w:val="24"/>
        </w:rPr>
        <w:t xml:space="preserve"> 响应文件如果出现计算或表达上的错误，修正错误的原则如下：</w:t>
      </w:r>
    </w:p>
    <w:p>
      <w:pPr>
        <w:pStyle w:val="15"/>
        <w:tabs>
          <w:tab w:val="left" w:pos="2472"/>
        </w:tabs>
        <w:snapToGrid w:val="0"/>
        <w:spacing w:line="440" w:lineRule="exact"/>
        <w:ind w:firstLine="480" w:firstLineChars="200"/>
        <w:rPr>
          <w:sz w:val="24"/>
        </w:rPr>
      </w:pPr>
      <w:r>
        <w:rPr>
          <w:rFonts w:hint="eastAsia"/>
          <w:sz w:val="24"/>
        </w:rPr>
        <w:t>（1）响应文件中报价表内容与响应文件中相应内容不一致的，以报价表为准。</w:t>
      </w:r>
    </w:p>
    <w:p>
      <w:pPr>
        <w:pStyle w:val="15"/>
        <w:tabs>
          <w:tab w:val="left" w:pos="2472"/>
        </w:tabs>
        <w:snapToGrid w:val="0"/>
        <w:spacing w:line="440" w:lineRule="exact"/>
        <w:ind w:firstLine="480" w:firstLineChars="200"/>
        <w:rPr>
          <w:sz w:val="24"/>
        </w:rPr>
      </w:pPr>
      <w:r>
        <w:rPr>
          <w:rFonts w:hint="eastAsia"/>
          <w:sz w:val="24"/>
        </w:rPr>
        <w:t>（2）大写金额和小写金额不一致的，以大写金额为准；</w:t>
      </w:r>
    </w:p>
    <w:p>
      <w:pPr>
        <w:pStyle w:val="15"/>
        <w:tabs>
          <w:tab w:val="left" w:pos="2472"/>
        </w:tabs>
        <w:snapToGrid w:val="0"/>
        <w:spacing w:line="440" w:lineRule="exact"/>
        <w:ind w:firstLine="480" w:firstLineChars="200"/>
        <w:rPr>
          <w:sz w:val="24"/>
        </w:rPr>
      </w:pPr>
      <w:r>
        <w:rPr>
          <w:rFonts w:hint="eastAsia"/>
          <w:sz w:val="24"/>
        </w:rPr>
        <w:t>（3）单价金额小数点或者百分比有明显错位的，以报价表的总价为准，并修改单价；</w:t>
      </w:r>
    </w:p>
    <w:p>
      <w:pPr>
        <w:pStyle w:val="15"/>
        <w:tabs>
          <w:tab w:val="left" w:pos="2472"/>
        </w:tabs>
        <w:snapToGrid w:val="0"/>
        <w:spacing w:line="440" w:lineRule="exact"/>
        <w:ind w:firstLine="480" w:firstLineChars="200"/>
        <w:rPr>
          <w:sz w:val="24"/>
        </w:rPr>
      </w:pPr>
      <w:r>
        <w:rPr>
          <w:rFonts w:hint="eastAsia"/>
          <w:sz w:val="24"/>
        </w:rPr>
        <w:t>（4）总价金额与按单价汇总金额不一致的，以单价金额计算结果为准；</w:t>
      </w:r>
    </w:p>
    <w:p>
      <w:pPr>
        <w:pStyle w:val="15"/>
        <w:tabs>
          <w:tab w:val="left" w:pos="2472"/>
        </w:tabs>
        <w:snapToGrid w:val="0"/>
        <w:spacing w:line="440" w:lineRule="exact"/>
        <w:ind w:firstLine="480" w:firstLineChars="200"/>
        <w:rPr>
          <w:sz w:val="24"/>
        </w:rPr>
      </w:pPr>
      <w:r>
        <w:rPr>
          <w:rFonts w:hint="eastAsia"/>
          <w:sz w:val="24"/>
        </w:rPr>
        <w:t>（5）对不同文字文本响应文件的解释发生异议的，以中文文本为准。</w:t>
      </w:r>
    </w:p>
    <w:p>
      <w:pPr>
        <w:pStyle w:val="15"/>
        <w:tabs>
          <w:tab w:val="left" w:pos="2472"/>
        </w:tabs>
        <w:snapToGrid w:val="0"/>
        <w:spacing w:line="440" w:lineRule="exact"/>
        <w:ind w:firstLine="480" w:firstLineChars="200"/>
        <w:rPr>
          <w:sz w:val="24"/>
        </w:rPr>
      </w:pPr>
      <w:r>
        <w:rPr>
          <w:rFonts w:hint="eastAsia"/>
          <w:sz w:val="24"/>
        </w:rPr>
        <w:t>（6）同时出现两种以上不一致的，按照前款规定的顺序修正。按上述规定修正后的报价经供应商确认后对供应商起约束作用。如果供应商不确认修正后的报价，则其响应文件无效。</w:t>
      </w:r>
    </w:p>
    <w:p>
      <w:pPr>
        <w:pStyle w:val="116"/>
        <w:snapToGrid w:val="0"/>
        <w:spacing w:line="440" w:lineRule="exact"/>
        <w:ind w:firstLine="470" w:firstLineChars="196"/>
        <w:rPr>
          <w:rFonts w:hAnsi="宋体"/>
          <w:b/>
          <w:sz w:val="24"/>
        </w:rPr>
      </w:pPr>
      <w:r>
        <w:rPr>
          <w:rFonts w:hint="eastAsia" w:hAnsi="宋体"/>
          <w:b/>
          <w:sz w:val="24"/>
        </w:rPr>
        <w:t>3</w:t>
      </w:r>
      <w:bookmarkStart w:id="364" w:name="_Toc421717796"/>
      <w:bookmarkStart w:id="365" w:name="_Toc319506075"/>
      <w:bookmarkStart w:id="366" w:name="_Toc419364512"/>
      <w:r>
        <w:rPr>
          <w:rFonts w:hint="eastAsia" w:hAnsi="宋体"/>
          <w:b/>
          <w:sz w:val="24"/>
        </w:rPr>
        <w:t>.7 评审结果</w:t>
      </w:r>
    </w:p>
    <w:bookmarkEnd w:id="364"/>
    <w:bookmarkEnd w:id="365"/>
    <w:bookmarkEnd w:id="366"/>
    <w:p>
      <w:pPr>
        <w:spacing w:line="440" w:lineRule="exact"/>
        <w:ind w:firstLine="480" w:firstLineChars="200"/>
        <w:jc w:val="left"/>
        <w:rPr>
          <w:rFonts w:ascii="宋体"/>
          <w:sz w:val="24"/>
        </w:rPr>
      </w:pPr>
      <w:r>
        <w:rPr>
          <w:rFonts w:hint="eastAsia" w:ascii="宋体"/>
          <w:sz w:val="24"/>
        </w:rPr>
        <w:t>3.7.1 磋商小组根据综合评分情况，按照评审得分由高到低顺</w:t>
      </w:r>
      <w:r>
        <w:rPr>
          <w:rFonts w:hint="eastAsia" w:ascii="宋体"/>
          <w:color w:val="000000" w:themeColor="text1"/>
          <w:sz w:val="24"/>
          <w14:textFill>
            <w14:solidFill>
              <w14:schemeClr w14:val="tx1"/>
            </w14:solidFill>
          </w14:textFill>
        </w:rPr>
        <w:t>序推荐2名</w:t>
      </w:r>
      <w:r>
        <w:rPr>
          <w:rFonts w:hint="eastAsia" w:ascii="宋体"/>
          <w:sz w:val="24"/>
        </w:rPr>
        <w:t>以上成交候选供应商，并编写评审报告。</w:t>
      </w:r>
    </w:p>
    <w:p>
      <w:pPr>
        <w:adjustRightInd w:val="0"/>
        <w:spacing w:line="440" w:lineRule="exact"/>
        <w:rPr>
          <w:sz w:val="24"/>
        </w:rPr>
      </w:pPr>
      <w:r>
        <w:rPr>
          <w:rFonts w:hint="eastAsia" w:ascii="宋体"/>
          <w:sz w:val="24"/>
        </w:rPr>
        <w:t xml:space="preserve">    3.7.2 采购人根据磋商小组提出的书面评审报告和推荐的成交候选人名单，确定成交供应商。</w:t>
      </w:r>
    </w:p>
    <w:sectPr>
      <w:pgSz w:w="11906" w:h="16838"/>
      <w:pgMar w:top="1418" w:right="1134" w:bottom="1134" w:left="1418" w:header="935" w:footer="68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ind w:right="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7940" cy="152400"/>
              <wp:effectExtent l="0" t="0" r="0" b="0"/>
              <wp:wrapSquare wrapText="bothSides"/>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pPr>
                            <w:pStyle w:val="20"/>
                            <w:rPr>
                              <w:rStyle w:val="36"/>
                            </w:rPr>
                          </w:pPr>
                          <w:r>
                            <w:rPr>
                              <w:rStyle w:val="36"/>
                            </w:rPr>
                            <w:fldChar w:fldCharType="begin"/>
                          </w:r>
                          <w:r>
                            <w:rPr>
                              <w:rStyle w:val="36"/>
                            </w:rPr>
                            <w:instrText xml:space="preserve">PAGE  </w:instrText>
                          </w:r>
                          <w:r>
                            <w:rPr>
                              <w:rStyle w:val="36"/>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pt;width:2.2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HoORdAAAAACAQAADwAAAAAAAAABACAAAAAiAAAAZHJzL2Rvd25yZXYueG1sUEsB&#10;AhQAFAAAAAgAh07iQFPaq1j9AQAADgQAAA4AAAAAAAAAAQAgAAAAHwEAAGRycy9lMm9Eb2MueG1s&#10;UEsFBgAAAAAGAAYAWQEAAI4FAAAAAA==&#10;">
              <v:fill on="f" focussize="0,0"/>
              <v:stroke on="f"/>
              <v:imagedata o:title=""/>
              <o:lock v:ext="edit" aspectratio="f"/>
              <v:textbox inset="0mm,0mm,0mm,0mm" style="mso-fit-shape-to-text:t;">
                <w:txbxContent>
                  <w:p>
                    <w:pPr>
                      <w:pStyle w:val="20"/>
                      <w:rPr>
                        <w:rStyle w:val="36"/>
                      </w:rPr>
                    </w:pPr>
                    <w:r>
                      <w:rPr>
                        <w:rStyle w:val="36"/>
                      </w:rPr>
                      <w:fldChar w:fldCharType="begin"/>
                    </w:r>
                    <w:r>
                      <w:rPr>
                        <w:rStyle w:val="36"/>
                      </w:rPr>
                      <w:instrText xml:space="preserve">PAGE  </w:instrText>
                    </w:r>
                    <w:r>
                      <w:rPr>
                        <w:rStyle w:val="36"/>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separate"/>
    </w:r>
    <w:r>
      <w:rPr>
        <w:rStyle w:val="36"/>
      </w:rPr>
      <w:t>5</w:t>
    </w:r>
    <w:r>
      <w:rPr>
        <w:rStyle w:val="36"/>
      </w:rPr>
      <w:fldChar w:fldCharType="end"/>
    </w:r>
  </w:p>
  <w:p>
    <w:pPr>
      <w:pStyle w:val="20"/>
      <w:ind w:right="360"/>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separate"/>
    </w:r>
    <w:r>
      <w:rPr>
        <w:rStyle w:val="36"/>
      </w:rPr>
      <w:t>60</w:t>
    </w:r>
    <w:r>
      <w:rPr>
        <w:rStyle w:val="36"/>
      </w:rPr>
      <w:fldChar w:fldCharType="end"/>
    </w:r>
  </w:p>
  <w:p>
    <w:pPr>
      <w:pStyle w:val="20"/>
      <w:ind w:right="360"/>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rFonts w:hint="default" w:eastAsia="宋体"/>
        <w:lang w:val="en-US" w:eastAsia="zh-CN"/>
      </w:rPr>
    </w:pPr>
    <w:r>
      <w:rPr>
        <w:rFonts w:hint="eastAsia"/>
      </w:rPr>
      <w:t>茭菱校区物业管理服务采购（2021）                                              项目编号：YC2021360</w:t>
    </w:r>
    <w:r>
      <w:rPr>
        <w:rFonts w:hint="eastAsia"/>
        <w:lang w:val="en-US" w:eastAsia="zh-CN"/>
      </w:rPr>
      <w:t>140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r>
      <w:rPr>
        <w:rFonts w:hint="eastAsia"/>
      </w:rPr>
      <w:t>小哨校区安保服务采购                                                                                                                   项目编号：YC2021360032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r>
      <w:rPr>
        <w:rFonts w:hint="eastAsia"/>
      </w:rPr>
      <w:t>小哨校区安保服务采购                                                             项目编号：YC2021360032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62217"/>
    <w:multiLevelType w:val="singleLevel"/>
    <w:tmpl w:val="8E662217"/>
    <w:lvl w:ilvl="0" w:tentative="0">
      <w:start w:val="1"/>
      <w:numFmt w:val="decimal"/>
      <w:suff w:val="space"/>
      <w:lvlText w:val="%1."/>
      <w:lvlJc w:val="left"/>
    </w:lvl>
  </w:abstractNum>
  <w:abstractNum w:abstractNumId="1">
    <w:nsid w:val="9DF601FA"/>
    <w:multiLevelType w:val="singleLevel"/>
    <w:tmpl w:val="9DF601FA"/>
    <w:lvl w:ilvl="0" w:tentative="0">
      <w:start w:val="1"/>
      <w:numFmt w:val="chineseCounting"/>
      <w:suff w:val="space"/>
      <w:lvlText w:val="第%1章"/>
      <w:lvlJc w:val="left"/>
      <w:rPr>
        <w:rFonts w:hint="eastAsia"/>
      </w:rPr>
    </w:lvl>
  </w:abstractNum>
  <w:abstractNum w:abstractNumId="2">
    <w:nsid w:val="B8813CA7"/>
    <w:multiLevelType w:val="singleLevel"/>
    <w:tmpl w:val="B8813CA7"/>
    <w:lvl w:ilvl="0" w:tentative="0">
      <w:start w:val="13"/>
      <w:numFmt w:val="decimal"/>
      <w:suff w:val="space"/>
      <w:lvlText w:val="%1."/>
      <w:lvlJc w:val="left"/>
    </w:lvl>
  </w:abstractNum>
  <w:abstractNum w:abstractNumId="3">
    <w:nsid w:val="BCA43796"/>
    <w:multiLevelType w:val="singleLevel"/>
    <w:tmpl w:val="BCA43796"/>
    <w:lvl w:ilvl="0" w:tentative="0">
      <w:start w:val="28"/>
      <w:numFmt w:val="decimal"/>
      <w:suff w:val="space"/>
      <w:lvlText w:val="%1."/>
      <w:lvlJc w:val="left"/>
    </w:lvl>
  </w:abstractNum>
  <w:abstractNum w:abstractNumId="4">
    <w:nsid w:val="FFFFFFFB"/>
    <w:multiLevelType w:val="multilevel"/>
    <w:tmpl w:val="FFFFFFFB"/>
    <w:lvl w:ilvl="0" w:tentative="0">
      <w:start w:val="1"/>
      <w:numFmt w:val="decimal"/>
      <w:lvlText w:val="%1."/>
      <w:legacy w:legacy="1" w:legacySpace="0" w:legacyIndent="425"/>
      <w:lvlJc w:val="left"/>
      <w:pPr>
        <w:ind w:left="425" w:hanging="425"/>
      </w:pPr>
    </w:lvl>
    <w:lvl w:ilvl="1" w:tentative="0">
      <w:start w:val="1"/>
      <w:numFmt w:val="decimal"/>
      <w:lvlText w:val="%1.%2."/>
      <w:legacy w:legacy="1" w:legacySpace="0" w:legacyIndent="425"/>
      <w:lvlJc w:val="left"/>
      <w:pPr>
        <w:ind w:left="850" w:hanging="425"/>
      </w:pPr>
    </w:lvl>
    <w:lvl w:ilvl="2" w:tentative="0">
      <w:start w:val="1"/>
      <w:numFmt w:val="decimal"/>
      <w:lvlText w:val="%1.%2.%3."/>
      <w:legacy w:legacy="1" w:legacySpace="0" w:legacyIndent="425"/>
      <w:lvlJc w:val="left"/>
      <w:pPr>
        <w:ind w:left="1275" w:hanging="425"/>
      </w:pPr>
    </w:lvl>
    <w:lvl w:ilvl="3" w:tentative="0">
      <w:start w:val="1"/>
      <w:numFmt w:val="decimal"/>
      <w:lvlText w:val="%1.%2.%3.%4."/>
      <w:legacy w:legacy="1" w:legacySpace="0" w:legacyIndent="425"/>
      <w:lvlJc w:val="left"/>
      <w:pPr>
        <w:ind w:left="1700" w:hanging="425"/>
      </w:pPr>
    </w:lvl>
    <w:lvl w:ilvl="4" w:tentative="0">
      <w:start w:val="1"/>
      <w:numFmt w:val="decimal"/>
      <w:pStyle w:val="7"/>
      <w:lvlText w:val="%1.%2.%3.%4.%5."/>
      <w:legacy w:legacy="1" w:legacySpace="0" w:legacyIndent="425"/>
      <w:lvlJc w:val="left"/>
      <w:pPr>
        <w:ind w:left="2125" w:hanging="425"/>
      </w:pPr>
    </w:lvl>
    <w:lvl w:ilvl="5" w:tentative="0">
      <w:start w:val="1"/>
      <w:numFmt w:val="decimal"/>
      <w:lvlText w:val="%1.%2.%3.%4.%5.%6."/>
      <w:legacy w:legacy="1" w:legacySpace="0" w:legacyIndent="425"/>
      <w:lvlJc w:val="left"/>
      <w:pPr>
        <w:ind w:left="2550" w:hanging="425"/>
      </w:pPr>
    </w:lvl>
    <w:lvl w:ilvl="6" w:tentative="0">
      <w:start w:val="1"/>
      <w:numFmt w:val="decimal"/>
      <w:lvlText w:val="%1.%2.%3.%4.%5.%6.%7."/>
      <w:legacy w:legacy="1" w:legacySpace="0" w:legacyIndent="425"/>
      <w:lvlJc w:val="left"/>
      <w:pPr>
        <w:ind w:left="2975" w:hanging="425"/>
      </w:pPr>
    </w:lvl>
    <w:lvl w:ilvl="7" w:tentative="0">
      <w:start w:val="1"/>
      <w:numFmt w:val="decimal"/>
      <w:lvlText w:val="%1.%2.%3.%4.%5.%6.%7.%8."/>
      <w:legacy w:legacy="1" w:legacySpace="0" w:legacyIndent="425"/>
      <w:lvlJc w:val="left"/>
      <w:pPr>
        <w:ind w:left="3400" w:hanging="425"/>
      </w:pPr>
    </w:lvl>
    <w:lvl w:ilvl="8" w:tentative="0">
      <w:start w:val="1"/>
      <w:numFmt w:val="decimal"/>
      <w:lvlText w:val="%1.%2.%3.%4.%5.%6.%7.%8.%9."/>
      <w:legacy w:legacy="1" w:legacySpace="0" w:legacyIndent="425"/>
      <w:lvlJc w:val="left"/>
      <w:pPr>
        <w:ind w:left="3825" w:hanging="425"/>
      </w:pPr>
    </w:lvl>
  </w:abstractNum>
  <w:abstractNum w:abstractNumId="5">
    <w:nsid w:val="0315620E"/>
    <w:multiLevelType w:val="multilevel"/>
    <w:tmpl w:val="0315620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pStyle w:val="5"/>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11EF3BBC"/>
    <w:multiLevelType w:val="multilevel"/>
    <w:tmpl w:val="11EF3BBC"/>
    <w:lvl w:ilvl="0" w:tentative="0">
      <w:start w:val="1"/>
      <w:numFmt w:val="bullet"/>
      <w:pStyle w:val="87"/>
      <w:lvlText w:val="♦"/>
      <w:lvlJc w:val="left"/>
      <w:pPr>
        <w:tabs>
          <w:tab w:val="left" w:pos="814"/>
        </w:tabs>
        <w:ind w:left="794" w:hanging="340"/>
      </w:pPr>
      <w:rPr>
        <w:rFonts w:hint="default" w:ascii="Arial Narrow" w:hAnsi="Arial Narrow" w:eastAsia="宋体"/>
        <w:b w:val="0"/>
        <w:i w:val="0"/>
        <w:color w:val="000000"/>
        <w:spacing w:val="-2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8A11C85"/>
    <w:multiLevelType w:val="multilevel"/>
    <w:tmpl w:val="18A11C85"/>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AD59F04"/>
    <w:multiLevelType w:val="singleLevel"/>
    <w:tmpl w:val="3AD59F04"/>
    <w:lvl w:ilvl="0" w:tentative="0">
      <w:start w:val="17"/>
      <w:numFmt w:val="decimal"/>
      <w:suff w:val="space"/>
      <w:lvlText w:val="%1."/>
      <w:lvlJc w:val="left"/>
    </w:lvl>
  </w:abstractNum>
  <w:abstractNum w:abstractNumId="9">
    <w:nsid w:val="42EB72E5"/>
    <w:multiLevelType w:val="multilevel"/>
    <w:tmpl w:val="42EB72E5"/>
    <w:lvl w:ilvl="0" w:tentative="0">
      <w:start w:val="6"/>
      <w:numFmt w:val="bullet"/>
      <w:lvlText w:val="□"/>
      <w:lvlJc w:val="left"/>
      <w:pPr>
        <w:tabs>
          <w:tab w:val="left" w:pos="1050"/>
        </w:tabs>
        <w:ind w:left="1050" w:hanging="330"/>
      </w:pPr>
      <w:rPr>
        <w:rFonts w:hint="eastAsia" w:ascii="仿宋_GB2312" w:hAnsi="宋体" w:eastAsia="仿宋_GB2312" w:cs="Times New Roman"/>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10">
    <w:nsid w:val="458B36FD"/>
    <w:multiLevelType w:val="multilevel"/>
    <w:tmpl w:val="458B36FD"/>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num w:numId="1">
    <w:abstractNumId w:val="5"/>
  </w:num>
  <w:num w:numId="2">
    <w:abstractNumId w:val="4"/>
  </w:num>
  <w:num w:numId="3">
    <w:abstractNumId w:val="6"/>
  </w:num>
  <w:num w:numId="4">
    <w:abstractNumId w:val="1"/>
  </w:num>
  <w:num w:numId="5">
    <w:abstractNumId w:val="10"/>
  </w:num>
  <w:num w:numId="6">
    <w:abstractNumId w:val="2"/>
  </w:num>
  <w:num w:numId="7">
    <w:abstractNumId w:val="8"/>
  </w:num>
  <w:num w:numId="8">
    <w:abstractNumId w:val="3"/>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E6"/>
    <w:rsid w:val="0000071C"/>
    <w:rsid w:val="00000887"/>
    <w:rsid w:val="000011A5"/>
    <w:rsid w:val="000017BA"/>
    <w:rsid w:val="000018B3"/>
    <w:rsid w:val="00001E5C"/>
    <w:rsid w:val="000029B4"/>
    <w:rsid w:val="00002BCA"/>
    <w:rsid w:val="00002E3E"/>
    <w:rsid w:val="00002F2C"/>
    <w:rsid w:val="000036C1"/>
    <w:rsid w:val="00003891"/>
    <w:rsid w:val="00004080"/>
    <w:rsid w:val="000041E4"/>
    <w:rsid w:val="000043A9"/>
    <w:rsid w:val="000049E7"/>
    <w:rsid w:val="00004AB9"/>
    <w:rsid w:val="00004F73"/>
    <w:rsid w:val="000059C9"/>
    <w:rsid w:val="00006588"/>
    <w:rsid w:val="000070BD"/>
    <w:rsid w:val="00007224"/>
    <w:rsid w:val="00010306"/>
    <w:rsid w:val="000103F7"/>
    <w:rsid w:val="0001048E"/>
    <w:rsid w:val="00010AF1"/>
    <w:rsid w:val="00011240"/>
    <w:rsid w:val="000113BE"/>
    <w:rsid w:val="000114EF"/>
    <w:rsid w:val="00012078"/>
    <w:rsid w:val="000124C2"/>
    <w:rsid w:val="000127A0"/>
    <w:rsid w:val="000141B1"/>
    <w:rsid w:val="000142B3"/>
    <w:rsid w:val="000146FD"/>
    <w:rsid w:val="0001576E"/>
    <w:rsid w:val="00015A9C"/>
    <w:rsid w:val="00015EFE"/>
    <w:rsid w:val="00016A16"/>
    <w:rsid w:val="00016D12"/>
    <w:rsid w:val="000174B3"/>
    <w:rsid w:val="00017714"/>
    <w:rsid w:val="000208EA"/>
    <w:rsid w:val="0002132C"/>
    <w:rsid w:val="000214ED"/>
    <w:rsid w:val="0002227E"/>
    <w:rsid w:val="000222A0"/>
    <w:rsid w:val="00022399"/>
    <w:rsid w:val="0002241F"/>
    <w:rsid w:val="000231F8"/>
    <w:rsid w:val="00024844"/>
    <w:rsid w:val="00024D65"/>
    <w:rsid w:val="00025609"/>
    <w:rsid w:val="00025A2F"/>
    <w:rsid w:val="00025CED"/>
    <w:rsid w:val="00026048"/>
    <w:rsid w:val="0002684C"/>
    <w:rsid w:val="00026AB7"/>
    <w:rsid w:val="0002745A"/>
    <w:rsid w:val="00030063"/>
    <w:rsid w:val="000307A6"/>
    <w:rsid w:val="00031738"/>
    <w:rsid w:val="00032D17"/>
    <w:rsid w:val="00033411"/>
    <w:rsid w:val="0003357F"/>
    <w:rsid w:val="000336C3"/>
    <w:rsid w:val="00033DD7"/>
    <w:rsid w:val="00036911"/>
    <w:rsid w:val="00041056"/>
    <w:rsid w:val="00041A11"/>
    <w:rsid w:val="000424B0"/>
    <w:rsid w:val="0004251F"/>
    <w:rsid w:val="00043719"/>
    <w:rsid w:val="0004387B"/>
    <w:rsid w:val="00043A7A"/>
    <w:rsid w:val="000444F5"/>
    <w:rsid w:val="000445CF"/>
    <w:rsid w:val="00044755"/>
    <w:rsid w:val="00044B0F"/>
    <w:rsid w:val="000456E5"/>
    <w:rsid w:val="00045720"/>
    <w:rsid w:val="00045A40"/>
    <w:rsid w:val="00045BC0"/>
    <w:rsid w:val="000460F5"/>
    <w:rsid w:val="00046419"/>
    <w:rsid w:val="00046579"/>
    <w:rsid w:val="000468C9"/>
    <w:rsid w:val="000469B2"/>
    <w:rsid w:val="00046BBC"/>
    <w:rsid w:val="00046E3F"/>
    <w:rsid w:val="000479C8"/>
    <w:rsid w:val="00047AB4"/>
    <w:rsid w:val="00047AF0"/>
    <w:rsid w:val="00050F61"/>
    <w:rsid w:val="0005108F"/>
    <w:rsid w:val="000512A7"/>
    <w:rsid w:val="0005195D"/>
    <w:rsid w:val="00051C8D"/>
    <w:rsid w:val="00051DE8"/>
    <w:rsid w:val="000526E3"/>
    <w:rsid w:val="000528B2"/>
    <w:rsid w:val="00052CF5"/>
    <w:rsid w:val="00053ADE"/>
    <w:rsid w:val="00053D1E"/>
    <w:rsid w:val="00054D65"/>
    <w:rsid w:val="00055280"/>
    <w:rsid w:val="000558C9"/>
    <w:rsid w:val="00056754"/>
    <w:rsid w:val="00056AB5"/>
    <w:rsid w:val="0005723B"/>
    <w:rsid w:val="0005759C"/>
    <w:rsid w:val="0005766B"/>
    <w:rsid w:val="000579E9"/>
    <w:rsid w:val="00060979"/>
    <w:rsid w:val="0006178D"/>
    <w:rsid w:val="0006214C"/>
    <w:rsid w:val="000632E9"/>
    <w:rsid w:val="00063BA6"/>
    <w:rsid w:val="000648C9"/>
    <w:rsid w:val="00064C41"/>
    <w:rsid w:val="0006672F"/>
    <w:rsid w:val="00066836"/>
    <w:rsid w:val="0006749E"/>
    <w:rsid w:val="00067516"/>
    <w:rsid w:val="00067AC7"/>
    <w:rsid w:val="00067AC8"/>
    <w:rsid w:val="000705B5"/>
    <w:rsid w:val="00070C62"/>
    <w:rsid w:val="000736A6"/>
    <w:rsid w:val="00073E7C"/>
    <w:rsid w:val="00074090"/>
    <w:rsid w:val="00074BA9"/>
    <w:rsid w:val="00074D2E"/>
    <w:rsid w:val="00074EB4"/>
    <w:rsid w:val="00074FD2"/>
    <w:rsid w:val="000753DC"/>
    <w:rsid w:val="0007604D"/>
    <w:rsid w:val="0007646B"/>
    <w:rsid w:val="00077277"/>
    <w:rsid w:val="00077BE6"/>
    <w:rsid w:val="000805BC"/>
    <w:rsid w:val="00080D74"/>
    <w:rsid w:val="00081A85"/>
    <w:rsid w:val="00081ACA"/>
    <w:rsid w:val="00082ED6"/>
    <w:rsid w:val="000832B8"/>
    <w:rsid w:val="00083C76"/>
    <w:rsid w:val="00084199"/>
    <w:rsid w:val="0008543F"/>
    <w:rsid w:val="00085925"/>
    <w:rsid w:val="000862F2"/>
    <w:rsid w:val="0008631B"/>
    <w:rsid w:val="00086B25"/>
    <w:rsid w:val="0008737D"/>
    <w:rsid w:val="000900EF"/>
    <w:rsid w:val="00091A96"/>
    <w:rsid w:val="00091DB0"/>
    <w:rsid w:val="000933D7"/>
    <w:rsid w:val="0009439C"/>
    <w:rsid w:val="0009440C"/>
    <w:rsid w:val="00094BB7"/>
    <w:rsid w:val="00094E8F"/>
    <w:rsid w:val="000955CD"/>
    <w:rsid w:val="000957A2"/>
    <w:rsid w:val="00096093"/>
    <w:rsid w:val="00096311"/>
    <w:rsid w:val="00096B9A"/>
    <w:rsid w:val="00096BE1"/>
    <w:rsid w:val="00096C34"/>
    <w:rsid w:val="0009702D"/>
    <w:rsid w:val="00097296"/>
    <w:rsid w:val="000975D0"/>
    <w:rsid w:val="000A02FF"/>
    <w:rsid w:val="000A10C7"/>
    <w:rsid w:val="000A12C6"/>
    <w:rsid w:val="000A13EB"/>
    <w:rsid w:val="000A2592"/>
    <w:rsid w:val="000A36D9"/>
    <w:rsid w:val="000A3FD2"/>
    <w:rsid w:val="000A4BD5"/>
    <w:rsid w:val="000A5163"/>
    <w:rsid w:val="000A5E72"/>
    <w:rsid w:val="000A656A"/>
    <w:rsid w:val="000A7A1C"/>
    <w:rsid w:val="000A7F64"/>
    <w:rsid w:val="000B05CD"/>
    <w:rsid w:val="000B0A65"/>
    <w:rsid w:val="000B0F7B"/>
    <w:rsid w:val="000B2445"/>
    <w:rsid w:val="000B2CD9"/>
    <w:rsid w:val="000B3110"/>
    <w:rsid w:val="000B3938"/>
    <w:rsid w:val="000B45CB"/>
    <w:rsid w:val="000B509A"/>
    <w:rsid w:val="000B557D"/>
    <w:rsid w:val="000B6492"/>
    <w:rsid w:val="000B6603"/>
    <w:rsid w:val="000B6655"/>
    <w:rsid w:val="000B671F"/>
    <w:rsid w:val="000B6A62"/>
    <w:rsid w:val="000B6CE1"/>
    <w:rsid w:val="000B747B"/>
    <w:rsid w:val="000C0AB7"/>
    <w:rsid w:val="000C16EF"/>
    <w:rsid w:val="000C1E67"/>
    <w:rsid w:val="000C25FF"/>
    <w:rsid w:val="000C28C9"/>
    <w:rsid w:val="000C3478"/>
    <w:rsid w:val="000C349D"/>
    <w:rsid w:val="000C3A54"/>
    <w:rsid w:val="000C3B43"/>
    <w:rsid w:val="000C49B2"/>
    <w:rsid w:val="000C5659"/>
    <w:rsid w:val="000C57BB"/>
    <w:rsid w:val="000C5C45"/>
    <w:rsid w:val="000C5C9A"/>
    <w:rsid w:val="000C67E6"/>
    <w:rsid w:val="000C6D19"/>
    <w:rsid w:val="000D0334"/>
    <w:rsid w:val="000D0635"/>
    <w:rsid w:val="000D09B5"/>
    <w:rsid w:val="000D09F0"/>
    <w:rsid w:val="000D1DBD"/>
    <w:rsid w:val="000D2730"/>
    <w:rsid w:val="000D3B89"/>
    <w:rsid w:val="000D3D3F"/>
    <w:rsid w:val="000D3F90"/>
    <w:rsid w:val="000D42B8"/>
    <w:rsid w:val="000D42D8"/>
    <w:rsid w:val="000D4970"/>
    <w:rsid w:val="000D4CDC"/>
    <w:rsid w:val="000D4CF9"/>
    <w:rsid w:val="000D58E0"/>
    <w:rsid w:val="000D5DE2"/>
    <w:rsid w:val="000D5E93"/>
    <w:rsid w:val="000D6645"/>
    <w:rsid w:val="000D6AA5"/>
    <w:rsid w:val="000D6C0B"/>
    <w:rsid w:val="000D71B1"/>
    <w:rsid w:val="000E0038"/>
    <w:rsid w:val="000E13D4"/>
    <w:rsid w:val="000E20D7"/>
    <w:rsid w:val="000E2750"/>
    <w:rsid w:val="000E2BEB"/>
    <w:rsid w:val="000E3380"/>
    <w:rsid w:val="000E3466"/>
    <w:rsid w:val="000E4120"/>
    <w:rsid w:val="000E5CFE"/>
    <w:rsid w:val="000E6E22"/>
    <w:rsid w:val="000E7346"/>
    <w:rsid w:val="000E787A"/>
    <w:rsid w:val="000F0D2F"/>
    <w:rsid w:val="000F129D"/>
    <w:rsid w:val="000F1676"/>
    <w:rsid w:val="000F320F"/>
    <w:rsid w:val="000F3A30"/>
    <w:rsid w:val="000F4014"/>
    <w:rsid w:val="000F469E"/>
    <w:rsid w:val="000F4CF0"/>
    <w:rsid w:val="000F5373"/>
    <w:rsid w:val="000F6E27"/>
    <w:rsid w:val="000F6FCB"/>
    <w:rsid w:val="000F7425"/>
    <w:rsid w:val="000F756D"/>
    <w:rsid w:val="000F7B9F"/>
    <w:rsid w:val="001008B7"/>
    <w:rsid w:val="00101DFA"/>
    <w:rsid w:val="00101F1F"/>
    <w:rsid w:val="00102D93"/>
    <w:rsid w:val="001034A6"/>
    <w:rsid w:val="001043F8"/>
    <w:rsid w:val="0010461F"/>
    <w:rsid w:val="001057F7"/>
    <w:rsid w:val="00105B45"/>
    <w:rsid w:val="00106290"/>
    <w:rsid w:val="001069AD"/>
    <w:rsid w:val="00106B4A"/>
    <w:rsid w:val="00106CBB"/>
    <w:rsid w:val="00107513"/>
    <w:rsid w:val="0010766C"/>
    <w:rsid w:val="00107DCC"/>
    <w:rsid w:val="001103D9"/>
    <w:rsid w:val="0011065B"/>
    <w:rsid w:val="001107D9"/>
    <w:rsid w:val="00111246"/>
    <w:rsid w:val="001115A9"/>
    <w:rsid w:val="0011192A"/>
    <w:rsid w:val="001124EC"/>
    <w:rsid w:val="00112D39"/>
    <w:rsid w:val="00112E2A"/>
    <w:rsid w:val="00113C65"/>
    <w:rsid w:val="00114151"/>
    <w:rsid w:val="00115094"/>
    <w:rsid w:val="00115617"/>
    <w:rsid w:val="00116703"/>
    <w:rsid w:val="00116B35"/>
    <w:rsid w:val="00117241"/>
    <w:rsid w:val="001203C5"/>
    <w:rsid w:val="001205D7"/>
    <w:rsid w:val="001208B9"/>
    <w:rsid w:val="00120B05"/>
    <w:rsid w:val="00120EF2"/>
    <w:rsid w:val="00121692"/>
    <w:rsid w:val="001216BB"/>
    <w:rsid w:val="00121C46"/>
    <w:rsid w:val="00122306"/>
    <w:rsid w:val="00122740"/>
    <w:rsid w:val="00122C8A"/>
    <w:rsid w:val="0012498D"/>
    <w:rsid w:val="001254B9"/>
    <w:rsid w:val="00125E0E"/>
    <w:rsid w:val="0012620D"/>
    <w:rsid w:val="0012632B"/>
    <w:rsid w:val="001266D7"/>
    <w:rsid w:val="00127767"/>
    <w:rsid w:val="00127DD1"/>
    <w:rsid w:val="00127E16"/>
    <w:rsid w:val="0013102E"/>
    <w:rsid w:val="001314E9"/>
    <w:rsid w:val="00131F98"/>
    <w:rsid w:val="0013200A"/>
    <w:rsid w:val="001322AA"/>
    <w:rsid w:val="00134770"/>
    <w:rsid w:val="001348C7"/>
    <w:rsid w:val="001360A3"/>
    <w:rsid w:val="00136937"/>
    <w:rsid w:val="00136F09"/>
    <w:rsid w:val="00137B2F"/>
    <w:rsid w:val="00140B41"/>
    <w:rsid w:val="00141BBF"/>
    <w:rsid w:val="001422E3"/>
    <w:rsid w:val="0014268B"/>
    <w:rsid w:val="00142DA8"/>
    <w:rsid w:val="00142DF7"/>
    <w:rsid w:val="001433E9"/>
    <w:rsid w:val="00144145"/>
    <w:rsid w:val="0014478D"/>
    <w:rsid w:val="00145335"/>
    <w:rsid w:val="00145DDC"/>
    <w:rsid w:val="0014717B"/>
    <w:rsid w:val="00147F47"/>
    <w:rsid w:val="00150AD6"/>
    <w:rsid w:val="00151B62"/>
    <w:rsid w:val="00153821"/>
    <w:rsid w:val="001538BC"/>
    <w:rsid w:val="00153EAE"/>
    <w:rsid w:val="00154423"/>
    <w:rsid w:val="00154F41"/>
    <w:rsid w:val="00155830"/>
    <w:rsid w:val="00156E4F"/>
    <w:rsid w:val="001577EE"/>
    <w:rsid w:val="00157C69"/>
    <w:rsid w:val="00161739"/>
    <w:rsid w:val="0016240C"/>
    <w:rsid w:val="0016348D"/>
    <w:rsid w:val="001639D0"/>
    <w:rsid w:val="00164216"/>
    <w:rsid w:val="00165E09"/>
    <w:rsid w:val="00166223"/>
    <w:rsid w:val="001662A0"/>
    <w:rsid w:val="001662CF"/>
    <w:rsid w:val="001663A8"/>
    <w:rsid w:val="0016661A"/>
    <w:rsid w:val="00167A8F"/>
    <w:rsid w:val="001701AB"/>
    <w:rsid w:val="001704B3"/>
    <w:rsid w:val="001705BA"/>
    <w:rsid w:val="001706B7"/>
    <w:rsid w:val="00170B33"/>
    <w:rsid w:val="00170E19"/>
    <w:rsid w:val="00171378"/>
    <w:rsid w:val="00171A60"/>
    <w:rsid w:val="00172205"/>
    <w:rsid w:val="00172369"/>
    <w:rsid w:val="00172384"/>
    <w:rsid w:val="00172A98"/>
    <w:rsid w:val="00172C92"/>
    <w:rsid w:val="00172E4A"/>
    <w:rsid w:val="00173722"/>
    <w:rsid w:val="00173846"/>
    <w:rsid w:val="001739F5"/>
    <w:rsid w:val="001744C1"/>
    <w:rsid w:val="00174A59"/>
    <w:rsid w:val="001762C1"/>
    <w:rsid w:val="001763FE"/>
    <w:rsid w:val="00176963"/>
    <w:rsid w:val="00176E5D"/>
    <w:rsid w:val="0017706B"/>
    <w:rsid w:val="00177736"/>
    <w:rsid w:val="00177DC6"/>
    <w:rsid w:val="0018057B"/>
    <w:rsid w:val="001813B4"/>
    <w:rsid w:val="00181983"/>
    <w:rsid w:val="00181C9B"/>
    <w:rsid w:val="00182407"/>
    <w:rsid w:val="00182D1E"/>
    <w:rsid w:val="001842AB"/>
    <w:rsid w:val="001848BE"/>
    <w:rsid w:val="00185280"/>
    <w:rsid w:val="00185EB2"/>
    <w:rsid w:val="001865F2"/>
    <w:rsid w:val="00190079"/>
    <w:rsid w:val="001901EB"/>
    <w:rsid w:val="0019041D"/>
    <w:rsid w:val="00190A5D"/>
    <w:rsid w:val="001916EC"/>
    <w:rsid w:val="001920AA"/>
    <w:rsid w:val="00192A63"/>
    <w:rsid w:val="00194A59"/>
    <w:rsid w:val="00194FD2"/>
    <w:rsid w:val="00195665"/>
    <w:rsid w:val="00195F36"/>
    <w:rsid w:val="0019690E"/>
    <w:rsid w:val="00196A93"/>
    <w:rsid w:val="00196C1B"/>
    <w:rsid w:val="00196F5D"/>
    <w:rsid w:val="001972B6"/>
    <w:rsid w:val="00197989"/>
    <w:rsid w:val="001A14D8"/>
    <w:rsid w:val="001A1617"/>
    <w:rsid w:val="001A1A94"/>
    <w:rsid w:val="001A1F25"/>
    <w:rsid w:val="001A2150"/>
    <w:rsid w:val="001A2532"/>
    <w:rsid w:val="001A27E2"/>
    <w:rsid w:val="001A29E5"/>
    <w:rsid w:val="001A2B4E"/>
    <w:rsid w:val="001A2B94"/>
    <w:rsid w:val="001A30FD"/>
    <w:rsid w:val="001A3FCB"/>
    <w:rsid w:val="001A47D0"/>
    <w:rsid w:val="001A4E3E"/>
    <w:rsid w:val="001A5132"/>
    <w:rsid w:val="001A57A3"/>
    <w:rsid w:val="001A5D1F"/>
    <w:rsid w:val="001A5F50"/>
    <w:rsid w:val="001A70F1"/>
    <w:rsid w:val="001A737A"/>
    <w:rsid w:val="001A7517"/>
    <w:rsid w:val="001B07F9"/>
    <w:rsid w:val="001B0F3E"/>
    <w:rsid w:val="001B0F67"/>
    <w:rsid w:val="001B1F8E"/>
    <w:rsid w:val="001B2B73"/>
    <w:rsid w:val="001B2E86"/>
    <w:rsid w:val="001B3099"/>
    <w:rsid w:val="001B393C"/>
    <w:rsid w:val="001B3941"/>
    <w:rsid w:val="001B3AF5"/>
    <w:rsid w:val="001B473B"/>
    <w:rsid w:val="001B48F1"/>
    <w:rsid w:val="001B66C3"/>
    <w:rsid w:val="001B71C0"/>
    <w:rsid w:val="001B7684"/>
    <w:rsid w:val="001B778A"/>
    <w:rsid w:val="001B78F4"/>
    <w:rsid w:val="001B7CDF"/>
    <w:rsid w:val="001B7EDE"/>
    <w:rsid w:val="001C0056"/>
    <w:rsid w:val="001C07A3"/>
    <w:rsid w:val="001C090C"/>
    <w:rsid w:val="001C0DC2"/>
    <w:rsid w:val="001C195E"/>
    <w:rsid w:val="001C204F"/>
    <w:rsid w:val="001C20C3"/>
    <w:rsid w:val="001C26DA"/>
    <w:rsid w:val="001C2794"/>
    <w:rsid w:val="001C3313"/>
    <w:rsid w:val="001C392E"/>
    <w:rsid w:val="001C4314"/>
    <w:rsid w:val="001C4774"/>
    <w:rsid w:val="001C4856"/>
    <w:rsid w:val="001C485C"/>
    <w:rsid w:val="001C68FB"/>
    <w:rsid w:val="001C793B"/>
    <w:rsid w:val="001D08BB"/>
    <w:rsid w:val="001D11FD"/>
    <w:rsid w:val="001D258F"/>
    <w:rsid w:val="001D299C"/>
    <w:rsid w:val="001D4915"/>
    <w:rsid w:val="001D49A2"/>
    <w:rsid w:val="001D5B25"/>
    <w:rsid w:val="001D6939"/>
    <w:rsid w:val="001D7975"/>
    <w:rsid w:val="001E06F2"/>
    <w:rsid w:val="001E0A00"/>
    <w:rsid w:val="001E0C30"/>
    <w:rsid w:val="001E0F9E"/>
    <w:rsid w:val="001E1512"/>
    <w:rsid w:val="001E2B7A"/>
    <w:rsid w:val="001E338A"/>
    <w:rsid w:val="001E3A3E"/>
    <w:rsid w:val="001E5A18"/>
    <w:rsid w:val="001E6591"/>
    <w:rsid w:val="001E69E6"/>
    <w:rsid w:val="001E6AE3"/>
    <w:rsid w:val="001E6CBC"/>
    <w:rsid w:val="001E704D"/>
    <w:rsid w:val="001E7680"/>
    <w:rsid w:val="001F10B8"/>
    <w:rsid w:val="001F119D"/>
    <w:rsid w:val="001F121E"/>
    <w:rsid w:val="001F17D3"/>
    <w:rsid w:val="001F2878"/>
    <w:rsid w:val="001F3F8C"/>
    <w:rsid w:val="001F459A"/>
    <w:rsid w:val="001F4B43"/>
    <w:rsid w:val="001F519C"/>
    <w:rsid w:val="001F69DC"/>
    <w:rsid w:val="001F6A43"/>
    <w:rsid w:val="001F6BA5"/>
    <w:rsid w:val="001F74EB"/>
    <w:rsid w:val="00200213"/>
    <w:rsid w:val="0020045D"/>
    <w:rsid w:val="002012EB"/>
    <w:rsid w:val="002016AC"/>
    <w:rsid w:val="00201AB2"/>
    <w:rsid w:val="00201C7D"/>
    <w:rsid w:val="00203007"/>
    <w:rsid w:val="002030DF"/>
    <w:rsid w:val="00203175"/>
    <w:rsid w:val="0020321D"/>
    <w:rsid w:val="00203862"/>
    <w:rsid w:val="00204AF3"/>
    <w:rsid w:val="00204C46"/>
    <w:rsid w:val="0020537E"/>
    <w:rsid w:val="002075D4"/>
    <w:rsid w:val="00207D31"/>
    <w:rsid w:val="00207F87"/>
    <w:rsid w:val="002108A9"/>
    <w:rsid w:val="00210A3A"/>
    <w:rsid w:val="00210EFA"/>
    <w:rsid w:val="00211602"/>
    <w:rsid w:val="00211A1D"/>
    <w:rsid w:val="002121DB"/>
    <w:rsid w:val="002122D2"/>
    <w:rsid w:val="0021244F"/>
    <w:rsid w:val="002132CA"/>
    <w:rsid w:val="002134D7"/>
    <w:rsid w:val="002134FA"/>
    <w:rsid w:val="00213DB9"/>
    <w:rsid w:val="00213FA3"/>
    <w:rsid w:val="0021459E"/>
    <w:rsid w:val="002145EA"/>
    <w:rsid w:val="00214614"/>
    <w:rsid w:val="00215011"/>
    <w:rsid w:val="00215F93"/>
    <w:rsid w:val="002162AB"/>
    <w:rsid w:val="0021639C"/>
    <w:rsid w:val="00217D0F"/>
    <w:rsid w:val="0022017D"/>
    <w:rsid w:val="00220AF3"/>
    <w:rsid w:val="00220E90"/>
    <w:rsid w:val="00221368"/>
    <w:rsid w:val="00222A1A"/>
    <w:rsid w:val="002246E1"/>
    <w:rsid w:val="0022579F"/>
    <w:rsid w:val="00227263"/>
    <w:rsid w:val="00227641"/>
    <w:rsid w:val="00227984"/>
    <w:rsid w:val="00230381"/>
    <w:rsid w:val="002308B9"/>
    <w:rsid w:val="00230D28"/>
    <w:rsid w:val="00230EAA"/>
    <w:rsid w:val="00231684"/>
    <w:rsid w:val="002320B6"/>
    <w:rsid w:val="0023253D"/>
    <w:rsid w:val="00232903"/>
    <w:rsid w:val="002330C2"/>
    <w:rsid w:val="0023383C"/>
    <w:rsid w:val="00233C04"/>
    <w:rsid w:val="00234E58"/>
    <w:rsid w:val="002350F4"/>
    <w:rsid w:val="0023548C"/>
    <w:rsid w:val="002362D5"/>
    <w:rsid w:val="00236F91"/>
    <w:rsid w:val="0024060C"/>
    <w:rsid w:val="0024099D"/>
    <w:rsid w:val="00240E76"/>
    <w:rsid w:val="00240EAB"/>
    <w:rsid w:val="00241493"/>
    <w:rsid w:val="002420ED"/>
    <w:rsid w:val="002424F2"/>
    <w:rsid w:val="0024436C"/>
    <w:rsid w:val="00245147"/>
    <w:rsid w:val="0024559F"/>
    <w:rsid w:val="00245897"/>
    <w:rsid w:val="002458BC"/>
    <w:rsid w:val="00245ADA"/>
    <w:rsid w:val="00246369"/>
    <w:rsid w:val="002467D5"/>
    <w:rsid w:val="002508BA"/>
    <w:rsid w:val="00251790"/>
    <w:rsid w:val="002521B7"/>
    <w:rsid w:val="00252A8E"/>
    <w:rsid w:val="00252C74"/>
    <w:rsid w:val="002533FD"/>
    <w:rsid w:val="00253485"/>
    <w:rsid w:val="002538B1"/>
    <w:rsid w:val="00253E66"/>
    <w:rsid w:val="002542E4"/>
    <w:rsid w:val="002543C7"/>
    <w:rsid w:val="0025525A"/>
    <w:rsid w:val="0025548C"/>
    <w:rsid w:val="00256699"/>
    <w:rsid w:val="00256A0B"/>
    <w:rsid w:val="00256B81"/>
    <w:rsid w:val="00256D96"/>
    <w:rsid w:val="00257A11"/>
    <w:rsid w:val="00257A1E"/>
    <w:rsid w:val="00257B68"/>
    <w:rsid w:val="0026014A"/>
    <w:rsid w:val="002615D1"/>
    <w:rsid w:val="002617BA"/>
    <w:rsid w:val="002620FD"/>
    <w:rsid w:val="00262C57"/>
    <w:rsid w:val="00263059"/>
    <w:rsid w:val="002635EB"/>
    <w:rsid w:val="0026365A"/>
    <w:rsid w:val="00263A6B"/>
    <w:rsid w:val="00263FB5"/>
    <w:rsid w:val="00264868"/>
    <w:rsid w:val="00264E62"/>
    <w:rsid w:val="00264F43"/>
    <w:rsid w:val="00265036"/>
    <w:rsid w:val="00265E70"/>
    <w:rsid w:val="00266574"/>
    <w:rsid w:val="00266889"/>
    <w:rsid w:val="00267313"/>
    <w:rsid w:val="00267E22"/>
    <w:rsid w:val="002703D6"/>
    <w:rsid w:val="0027135C"/>
    <w:rsid w:val="00272294"/>
    <w:rsid w:val="002728EC"/>
    <w:rsid w:val="002747A6"/>
    <w:rsid w:val="002755CD"/>
    <w:rsid w:val="00276D6B"/>
    <w:rsid w:val="00276FDF"/>
    <w:rsid w:val="00277A56"/>
    <w:rsid w:val="00277FB3"/>
    <w:rsid w:val="00280738"/>
    <w:rsid w:val="00280830"/>
    <w:rsid w:val="00280B9D"/>
    <w:rsid w:val="00280F5E"/>
    <w:rsid w:val="00281659"/>
    <w:rsid w:val="00281D20"/>
    <w:rsid w:val="00282A2F"/>
    <w:rsid w:val="00282B7B"/>
    <w:rsid w:val="00283DD6"/>
    <w:rsid w:val="00284FCF"/>
    <w:rsid w:val="002857C4"/>
    <w:rsid w:val="00285A0B"/>
    <w:rsid w:val="0028663E"/>
    <w:rsid w:val="00286DB3"/>
    <w:rsid w:val="00286F59"/>
    <w:rsid w:val="002876AD"/>
    <w:rsid w:val="00287AC7"/>
    <w:rsid w:val="002913F9"/>
    <w:rsid w:val="00291D93"/>
    <w:rsid w:val="0029220E"/>
    <w:rsid w:val="00292D32"/>
    <w:rsid w:val="002930CE"/>
    <w:rsid w:val="00293267"/>
    <w:rsid w:val="002932FD"/>
    <w:rsid w:val="00293799"/>
    <w:rsid w:val="00293851"/>
    <w:rsid w:val="00293B17"/>
    <w:rsid w:val="00293C16"/>
    <w:rsid w:val="002941E7"/>
    <w:rsid w:val="00294395"/>
    <w:rsid w:val="002950AB"/>
    <w:rsid w:val="00296087"/>
    <w:rsid w:val="0029683A"/>
    <w:rsid w:val="00297A38"/>
    <w:rsid w:val="002A0630"/>
    <w:rsid w:val="002A068B"/>
    <w:rsid w:val="002A1E4A"/>
    <w:rsid w:val="002A1EFD"/>
    <w:rsid w:val="002A347C"/>
    <w:rsid w:val="002A39D4"/>
    <w:rsid w:val="002A4108"/>
    <w:rsid w:val="002A4568"/>
    <w:rsid w:val="002A4A15"/>
    <w:rsid w:val="002A4FC5"/>
    <w:rsid w:val="002A567E"/>
    <w:rsid w:val="002A57E9"/>
    <w:rsid w:val="002A6023"/>
    <w:rsid w:val="002A6137"/>
    <w:rsid w:val="002A623F"/>
    <w:rsid w:val="002A7DFC"/>
    <w:rsid w:val="002B0135"/>
    <w:rsid w:val="002B0CFC"/>
    <w:rsid w:val="002B0D1F"/>
    <w:rsid w:val="002B1349"/>
    <w:rsid w:val="002B3086"/>
    <w:rsid w:val="002B386E"/>
    <w:rsid w:val="002B4B6A"/>
    <w:rsid w:val="002B4E65"/>
    <w:rsid w:val="002B505D"/>
    <w:rsid w:val="002B511F"/>
    <w:rsid w:val="002B5821"/>
    <w:rsid w:val="002B6031"/>
    <w:rsid w:val="002B6B52"/>
    <w:rsid w:val="002B70E4"/>
    <w:rsid w:val="002B70FE"/>
    <w:rsid w:val="002C0FE9"/>
    <w:rsid w:val="002C1812"/>
    <w:rsid w:val="002C19D0"/>
    <w:rsid w:val="002C29C6"/>
    <w:rsid w:val="002C36A2"/>
    <w:rsid w:val="002C42B6"/>
    <w:rsid w:val="002C48F1"/>
    <w:rsid w:val="002C61BF"/>
    <w:rsid w:val="002C6307"/>
    <w:rsid w:val="002C6701"/>
    <w:rsid w:val="002C7119"/>
    <w:rsid w:val="002C762A"/>
    <w:rsid w:val="002C7D36"/>
    <w:rsid w:val="002C7E26"/>
    <w:rsid w:val="002D13C1"/>
    <w:rsid w:val="002D1542"/>
    <w:rsid w:val="002D171B"/>
    <w:rsid w:val="002D1F70"/>
    <w:rsid w:val="002D2525"/>
    <w:rsid w:val="002D2CFE"/>
    <w:rsid w:val="002D2F8E"/>
    <w:rsid w:val="002D3497"/>
    <w:rsid w:val="002D356E"/>
    <w:rsid w:val="002D3635"/>
    <w:rsid w:val="002D608A"/>
    <w:rsid w:val="002D6D70"/>
    <w:rsid w:val="002D74C7"/>
    <w:rsid w:val="002E019A"/>
    <w:rsid w:val="002E07C4"/>
    <w:rsid w:val="002E15B3"/>
    <w:rsid w:val="002E1DC1"/>
    <w:rsid w:val="002E1ED2"/>
    <w:rsid w:val="002E212D"/>
    <w:rsid w:val="002E2220"/>
    <w:rsid w:val="002E2235"/>
    <w:rsid w:val="002E2789"/>
    <w:rsid w:val="002E27CA"/>
    <w:rsid w:val="002E2B02"/>
    <w:rsid w:val="002E2DEF"/>
    <w:rsid w:val="002E3B40"/>
    <w:rsid w:val="002E3BB7"/>
    <w:rsid w:val="002E3F50"/>
    <w:rsid w:val="002E4440"/>
    <w:rsid w:val="002E49B0"/>
    <w:rsid w:val="002E4A44"/>
    <w:rsid w:val="002E4B1B"/>
    <w:rsid w:val="002E4BB8"/>
    <w:rsid w:val="002E5F13"/>
    <w:rsid w:val="002E6C95"/>
    <w:rsid w:val="002E7126"/>
    <w:rsid w:val="002E7132"/>
    <w:rsid w:val="002E7144"/>
    <w:rsid w:val="002E79B6"/>
    <w:rsid w:val="002E7A64"/>
    <w:rsid w:val="002E7F1E"/>
    <w:rsid w:val="002F0300"/>
    <w:rsid w:val="002F0847"/>
    <w:rsid w:val="002F0894"/>
    <w:rsid w:val="002F094B"/>
    <w:rsid w:val="002F1686"/>
    <w:rsid w:val="002F18D3"/>
    <w:rsid w:val="002F1C67"/>
    <w:rsid w:val="002F1CE2"/>
    <w:rsid w:val="002F22E0"/>
    <w:rsid w:val="002F313D"/>
    <w:rsid w:val="002F392F"/>
    <w:rsid w:val="002F4398"/>
    <w:rsid w:val="002F49CF"/>
    <w:rsid w:val="002F49D5"/>
    <w:rsid w:val="002F4CF3"/>
    <w:rsid w:val="002F552C"/>
    <w:rsid w:val="002F67B5"/>
    <w:rsid w:val="002F6C73"/>
    <w:rsid w:val="002F702C"/>
    <w:rsid w:val="002F77BB"/>
    <w:rsid w:val="002F7B91"/>
    <w:rsid w:val="002F7C1F"/>
    <w:rsid w:val="0030019E"/>
    <w:rsid w:val="00300926"/>
    <w:rsid w:val="00301014"/>
    <w:rsid w:val="0030125B"/>
    <w:rsid w:val="00302500"/>
    <w:rsid w:val="00302AB3"/>
    <w:rsid w:val="00302C82"/>
    <w:rsid w:val="003033E2"/>
    <w:rsid w:val="00303B20"/>
    <w:rsid w:val="00303C04"/>
    <w:rsid w:val="00304422"/>
    <w:rsid w:val="00304792"/>
    <w:rsid w:val="00305159"/>
    <w:rsid w:val="0030577E"/>
    <w:rsid w:val="003068FA"/>
    <w:rsid w:val="00307322"/>
    <w:rsid w:val="00307D07"/>
    <w:rsid w:val="00307E79"/>
    <w:rsid w:val="00307F46"/>
    <w:rsid w:val="003104A8"/>
    <w:rsid w:val="00310BAC"/>
    <w:rsid w:val="00311047"/>
    <w:rsid w:val="00311331"/>
    <w:rsid w:val="003117CD"/>
    <w:rsid w:val="00311E9F"/>
    <w:rsid w:val="00311F19"/>
    <w:rsid w:val="00312DA9"/>
    <w:rsid w:val="0031326A"/>
    <w:rsid w:val="003135D4"/>
    <w:rsid w:val="003138AA"/>
    <w:rsid w:val="00315D68"/>
    <w:rsid w:val="0031608B"/>
    <w:rsid w:val="00316AEE"/>
    <w:rsid w:val="00317AA5"/>
    <w:rsid w:val="003205D0"/>
    <w:rsid w:val="00320718"/>
    <w:rsid w:val="003217AD"/>
    <w:rsid w:val="00322161"/>
    <w:rsid w:val="003223AA"/>
    <w:rsid w:val="0032259A"/>
    <w:rsid w:val="00322891"/>
    <w:rsid w:val="0032292B"/>
    <w:rsid w:val="00323450"/>
    <w:rsid w:val="00323C9A"/>
    <w:rsid w:val="00324AE8"/>
    <w:rsid w:val="00324BBD"/>
    <w:rsid w:val="003254A0"/>
    <w:rsid w:val="00325B44"/>
    <w:rsid w:val="00327012"/>
    <w:rsid w:val="00327094"/>
    <w:rsid w:val="00327D0B"/>
    <w:rsid w:val="0033055C"/>
    <w:rsid w:val="00330EBE"/>
    <w:rsid w:val="003310C3"/>
    <w:rsid w:val="00331815"/>
    <w:rsid w:val="00331E2A"/>
    <w:rsid w:val="00331EA3"/>
    <w:rsid w:val="00331FAB"/>
    <w:rsid w:val="00332122"/>
    <w:rsid w:val="003322AC"/>
    <w:rsid w:val="0033277E"/>
    <w:rsid w:val="0033332A"/>
    <w:rsid w:val="00333775"/>
    <w:rsid w:val="00333979"/>
    <w:rsid w:val="00334A30"/>
    <w:rsid w:val="00334D49"/>
    <w:rsid w:val="00335DD6"/>
    <w:rsid w:val="0033646E"/>
    <w:rsid w:val="003365DE"/>
    <w:rsid w:val="0033671E"/>
    <w:rsid w:val="00337003"/>
    <w:rsid w:val="00337A3B"/>
    <w:rsid w:val="003400D9"/>
    <w:rsid w:val="00340101"/>
    <w:rsid w:val="00340F4B"/>
    <w:rsid w:val="00341DDF"/>
    <w:rsid w:val="00341E47"/>
    <w:rsid w:val="00341EC4"/>
    <w:rsid w:val="003420AC"/>
    <w:rsid w:val="00342228"/>
    <w:rsid w:val="003427E5"/>
    <w:rsid w:val="003434DC"/>
    <w:rsid w:val="00343DFA"/>
    <w:rsid w:val="00344271"/>
    <w:rsid w:val="0034438B"/>
    <w:rsid w:val="003451F7"/>
    <w:rsid w:val="0034639C"/>
    <w:rsid w:val="0034666C"/>
    <w:rsid w:val="0034722A"/>
    <w:rsid w:val="00347D20"/>
    <w:rsid w:val="003501AA"/>
    <w:rsid w:val="0035037D"/>
    <w:rsid w:val="00350640"/>
    <w:rsid w:val="003507AC"/>
    <w:rsid w:val="00351002"/>
    <w:rsid w:val="003517A6"/>
    <w:rsid w:val="00351AA9"/>
    <w:rsid w:val="00351EE9"/>
    <w:rsid w:val="00352462"/>
    <w:rsid w:val="00352E0B"/>
    <w:rsid w:val="00352E1A"/>
    <w:rsid w:val="00352E38"/>
    <w:rsid w:val="00354375"/>
    <w:rsid w:val="00354397"/>
    <w:rsid w:val="00354D9E"/>
    <w:rsid w:val="00355236"/>
    <w:rsid w:val="0035525D"/>
    <w:rsid w:val="00355E05"/>
    <w:rsid w:val="003564C7"/>
    <w:rsid w:val="00356762"/>
    <w:rsid w:val="003569FB"/>
    <w:rsid w:val="003576A4"/>
    <w:rsid w:val="003600EF"/>
    <w:rsid w:val="0036056D"/>
    <w:rsid w:val="00360A73"/>
    <w:rsid w:val="00361588"/>
    <w:rsid w:val="00361AF7"/>
    <w:rsid w:val="00361E0C"/>
    <w:rsid w:val="0036241F"/>
    <w:rsid w:val="0036291E"/>
    <w:rsid w:val="00362C10"/>
    <w:rsid w:val="003634E0"/>
    <w:rsid w:val="00363913"/>
    <w:rsid w:val="00363E5B"/>
    <w:rsid w:val="00364E33"/>
    <w:rsid w:val="0036646E"/>
    <w:rsid w:val="003670DA"/>
    <w:rsid w:val="00367140"/>
    <w:rsid w:val="003672DB"/>
    <w:rsid w:val="0036761C"/>
    <w:rsid w:val="003678CC"/>
    <w:rsid w:val="00370098"/>
    <w:rsid w:val="00370A00"/>
    <w:rsid w:val="00370EAA"/>
    <w:rsid w:val="0037105D"/>
    <w:rsid w:val="00371AF4"/>
    <w:rsid w:val="003720E7"/>
    <w:rsid w:val="00372362"/>
    <w:rsid w:val="003725DF"/>
    <w:rsid w:val="00373143"/>
    <w:rsid w:val="0037361F"/>
    <w:rsid w:val="003745EF"/>
    <w:rsid w:val="00374925"/>
    <w:rsid w:val="00374B29"/>
    <w:rsid w:val="00374FE3"/>
    <w:rsid w:val="00375AF8"/>
    <w:rsid w:val="00375EEB"/>
    <w:rsid w:val="0037629B"/>
    <w:rsid w:val="00377216"/>
    <w:rsid w:val="0038032C"/>
    <w:rsid w:val="00382307"/>
    <w:rsid w:val="00382A77"/>
    <w:rsid w:val="00383CC9"/>
    <w:rsid w:val="0038470D"/>
    <w:rsid w:val="00385163"/>
    <w:rsid w:val="00385D81"/>
    <w:rsid w:val="00385EB5"/>
    <w:rsid w:val="00385F7A"/>
    <w:rsid w:val="003865E6"/>
    <w:rsid w:val="00387255"/>
    <w:rsid w:val="00390B73"/>
    <w:rsid w:val="00391D25"/>
    <w:rsid w:val="00391DB0"/>
    <w:rsid w:val="00392894"/>
    <w:rsid w:val="00392958"/>
    <w:rsid w:val="00392D73"/>
    <w:rsid w:val="0039434C"/>
    <w:rsid w:val="00394474"/>
    <w:rsid w:val="00394B64"/>
    <w:rsid w:val="003956E2"/>
    <w:rsid w:val="00395C12"/>
    <w:rsid w:val="003973E0"/>
    <w:rsid w:val="003A0231"/>
    <w:rsid w:val="003A0512"/>
    <w:rsid w:val="003A09E0"/>
    <w:rsid w:val="003A0EB4"/>
    <w:rsid w:val="003A1163"/>
    <w:rsid w:val="003A14B5"/>
    <w:rsid w:val="003A1A4D"/>
    <w:rsid w:val="003A1C3F"/>
    <w:rsid w:val="003A29B1"/>
    <w:rsid w:val="003A2AD1"/>
    <w:rsid w:val="003A3A3E"/>
    <w:rsid w:val="003A3B3E"/>
    <w:rsid w:val="003A49F9"/>
    <w:rsid w:val="003A4F91"/>
    <w:rsid w:val="003A5C24"/>
    <w:rsid w:val="003A6B5F"/>
    <w:rsid w:val="003A6E11"/>
    <w:rsid w:val="003A7066"/>
    <w:rsid w:val="003A748A"/>
    <w:rsid w:val="003B0A8D"/>
    <w:rsid w:val="003B2065"/>
    <w:rsid w:val="003B2CD4"/>
    <w:rsid w:val="003B2E6E"/>
    <w:rsid w:val="003B3BA6"/>
    <w:rsid w:val="003B4304"/>
    <w:rsid w:val="003B4A73"/>
    <w:rsid w:val="003B4C1E"/>
    <w:rsid w:val="003B50B6"/>
    <w:rsid w:val="003B52AB"/>
    <w:rsid w:val="003B6674"/>
    <w:rsid w:val="003B79BC"/>
    <w:rsid w:val="003B7D8C"/>
    <w:rsid w:val="003B7E38"/>
    <w:rsid w:val="003C042E"/>
    <w:rsid w:val="003C046F"/>
    <w:rsid w:val="003C08EF"/>
    <w:rsid w:val="003C1193"/>
    <w:rsid w:val="003C125E"/>
    <w:rsid w:val="003C133A"/>
    <w:rsid w:val="003C1594"/>
    <w:rsid w:val="003C2A3B"/>
    <w:rsid w:val="003C3114"/>
    <w:rsid w:val="003C3228"/>
    <w:rsid w:val="003C3AB9"/>
    <w:rsid w:val="003C4248"/>
    <w:rsid w:val="003C49EF"/>
    <w:rsid w:val="003C4D08"/>
    <w:rsid w:val="003C55C7"/>
    <w:rsid w:val="003C688B"/>
    <w:rsid w:val="003C6BA6"/>
    <w:rsid w:val="003C7ABB"/>
    <w:rsid w:val="003C7BDC"/>
    <w:rsid w:val="003D0FD8"/>
    <w:rsid w:val="003D13B3"/>
    <w:rsid w:val="003D13F0"/>
    <w:rsid w:val="003D1CEC"/>
    <w:rsid w:val="003D21E6"/>
    <w:rsid w:val="003D44B9"/>
    <w:rsid w:val="003D4A74"/>
    <w:rsid w:val="003D4EB6"/>
    <w:rsid w:val="003D512D"/>
    <w:rsid w:val="003D5973"/>
    <w:rsid w:val="003D69C1"/>
    <w:rsid w:val="003D742C"/>
    <w:rsid w:val="003D7757"/>
    <w:rsid w:val="003D7BA3"/>
    <w:rsid w:val="003E05B9"/>
    <w:rsid w:val="003E0618"/>
    <w:rsid w:val="003E1A67"/>
    <w:rsid w:val="003E1D05"/>
    <w:rsid w:val="003E1F4F"/>
    <w:rsid w:val="003E269F"/>
    <w:rsid w:val="003E28B3"/>
    <w:rsid w:val="003E31CE"/>
    <w:rsid w:val="003E38F6"/>
    <w:rsid w:val="003E4435"/>
    <w:rsid w:val="003E4665"/>
    <w:rsid w:val="003E57CB"/>
    <w:rsid w:val="003E57EC"/>
    <w:rsid w:val="003E6193"/>
    <w:rsid w:val="003E6989"/>
    <w:rsid w:val="003E6CC4"/>
    <w:rsid w:val="003E7155"/>
    <w:rsid w:val="003E758E"/>
    <w:rsid w:val="003E782D"/>
    <w:rsid w:val="003F253C"/>
    <w:rsid w:val="003F28A0"/>
    <w:rsid w:val="003F59CE"/>
    <w:rsid w:val="003F5E33"/>
    <w:rsid w:val="003F5FD7"/>
    <w:rsid w:val="003F704A"/>
    <w:rsid w:val="003F747D"/>
    <w:rsid w:val="003F76AA"/>
    <w:rsid w:val="003F7B19"/>
    <w:rsid w:val="0040010B"/>
    <w:rsid w:val="00400D09"/>
    <w:rsid w:val="004024A1"/>
    <w:rsid w:val="00403270"/>
    <w:rsid w:val="00403AA9"/>
    <w:rsid w:val="00403C92"/>
    <w:rsid w:val="00403DDB"/>
    <w:rsid w:val="00404EA7"/>
    <w:rsid w:val="00405731"/>
    <w:rsid w:val="00405C22"/>
    <w:rsid w:val="00406069"/>
    <w:rsid w:val="00406AA3"/>
    <w:rsid w:val="00407A1E"/>
    <w:rsid w:val="00407BEE"/>
    <w:rsid w:val="00407D07"/>
    <w:rsid w:val="00407D7F"/>
    <w:rsid w:val="004100D6"/>
    <w:rsid w:val="00410BB7"/>
    <w:rsid w:val="00410C05"/>
    <w:rsid w:val="004116C8"/>
    <w:rsid w:val="00412639"/>
    <w:rsid w:val="00412AB0"/>
    <w:rsid w:val="00413440"/>
    <w:rsid w:val="0041396A"/>
    <w:rsid w:val="0041402F"/>
    <w:rsid w:val="004146FA"/>
    <w:rsid w:val="00414838"/>
    <w:rsid w:val="0041573C"/>
    <w:rsid w:val="00415AEA"/>
    <w:rsid w:val="00416213"/>
    <w:rsid w:val="004162C5"/>
    <w:rsid w:val="0041633C"/>
    <w:rsid w:val="00416E94"/>
    <w:rsid w:val="00416F84"/>
    <w:rsid w:val="00417223"/>
    <w:rsid w:val="004173A8"/>
    <w:rsid w:val="004173C0"/>
    <w:rsid w:val="00417492"/>
    <w:rsid w:val="00417566"/>
    <w:rsid w:val="0042005C"/>
    <w:rsid w:val="00420260"/>
    <w:rsid w:val="004206AF"/>
    <w:rsid w:val="00420747"/>
    <w:rsid w:val="00420879"/>
    <w:rsid w:val="00420FDE"/>
    <w:rsid w:val="00421BE6"/>
    <w:rsid w:val="004220FD"/>
    <w:rsid w:val="00422342"/>
    <w:rsid w:val="0042348A"/>
    <w:rsid w:val="0042367B"/>
    <w:rsid w:val="004252B2"/>
    <w:rsid w:val="0042567D"/>
    <w:rsid w:val="004259CB"/>
    <w:rsid w:val="0042602B"/>
    <w:rsid w:val="00426A8D"/>
    <w:rsid w:val="00426F65"/>
    <w:rsid w:val="0042793A"/>
    <w:rsid w:val="00427ECE"/>
    <w:rsid w:val="0043022C"/>
    <w:rsid w:val="004304CA"/>
    <w:rsid w:val="0043068B"/>
    <w:rsid w:val="004307D3"/>
    <w:rsid w:val="00430D04"/>
    <w:rsid w:val="004316CD"/>
    <w:rsid w:val="004320FE"/>
    <w:rsid w:val="0043293F"/>
    <w:rsid w:val="004342F8"/>
    <w:rsid w:val="00434382"/>
    <w:rsid w:val="004354ED"/>
    <w:rsid w:val="00435A26"/>
    <w:rsid w:val="00435D2F"/>
    <w:rsid w:val="00435D8B"/>
    <w:rsid w:val="004372C0"/>
    <w:rsid w:val="0044034C"/>
    <w:rsid w:val="004408F3"/>
    <w:rsid w:val="00440C0E"/>
    <w:rsid w:val="00442D77"/>
    <w:rsid w:val="0044330C"/>
    <w:rsid w:val="00443A7D"/>
    <w:rsid w:val="00444023"/>
    <w:rsid w:val="00444230"/>
    <w:rsid w:val="00444348"/>
    <w:rsid w:val="004445C9"/>
    <w:rsid w:val="00445221"/>
    <w:rsid w:val="00445A11"/>
    <w:rsid w:val="004463AB"/>
    <w:rsid w:val="00446C24"/>
    <w:rsid w:val="00446E5B"/>
    <w:rsid w:val="00446EA6"/>
    <w:rsid w:val="00447C18"/>
    <w:rsid w:val="00447DD8"/>
    <w:rsid w:val="00450D39"/>
    <w:rsid w:val="00450F97"/>
    <w:rsid w:val="00451359"/>
    <w:rsid w:val="00451D0A"/>
    <w:rsid w:val="0045219A"/>
    <w:rsid w:val="004529CD"/>
    <w:rsid w:val="00452C5F"/>
    <w:rsid w:val="00452CB6"/>
    <w:rsid w:val="00452E5B"/>
    <w:rsid w:val="00453A7C"/>
    <w:rsid w:val="00454405"/>
    <w:rsid w:val="004547B8"/>
    <w:rsid w:val="00454AE8"/>
    <w:rsid w:val="00454CA7"/>
    <w:rsid w:val="004555FD"/>
    <w:rsid w:val="00456852"/>
    <w:rsid w:val="00456CB4"/>
    <w:rsid w:val="00456FF2"/>
    <w:rsid w:val="00457214"/>
    <w:rsid w:val="00460009"/>
    <w:rsid w:val="0046015A"/>
    <w:rsid w:val="00460701"/>
    <w:rsid w:val="00460FAA"/>
    <w:rsid w:val="00461427"/>
    <w:rsid w:val="00461601"/>
    <w:rsid w:val="00462553"/>
    <w:rsid w:val="00462E78"/>
    <w:rsid w:val="00462FD8"/>
    <w:rsid w:val="004630AB"/>
    <w:rsid w:val="004632F9"/>
    <w:rsid w:val="004649C5"/>
    <w:rsid w:val="00465560"/>
    <w:rsid w:val="00465753"/>
    <w:rsid w:val="00466280"/>
    <w:rsid w:val="004666BD"/>
    <w:rsid w:val="00466968"/>
    <w:rsid w:val="00466FAA"/>
    <w:rsid w:val="004670DA"/>
    <w:rsid w:val="00470186"/>
    <w:rsid w:val="004703AC"/>
    <w:rsid w:val="004707A5"/>
    <w:rsid w:val="00470F85"/>
    <w:rsid w:val="00471292"/>
    <w:rsid w:val="0047135F"/>
    <w:rsid w:val="00471579"/>
    <w:rsid w:val="00471F18"/>
    <w:rsid w:val="00472D50"/>
    <w:rsid w:val="00473272"/>
    <w:rsid w:val="00473477"/>
    <w:rsid w:val="004736CF"/>
    <w:rsid w:val="00473912"/>
    <w:rsid w:val="00473AB1"/>
    <w:rsid w:val="00473E91"/>
    <w:rsid w:val="00475146"/>
    <w:rsid w:val="00475DD2"/>
    <w:rsid w:val="0047641B"/>
    <w:rsid w:val="00476F97"/>
    <w:rsid w:val="00480B57"/>
    <w:rsid w:val="00480F33"/>
    <w:rsid w:val="004815F9"/>
    <w:rsid w:val="00482CCF"/>
    <w:rsid w:val="004840E5"/>
    <w:rsid w:val="0048428D"/>
    <w:rsid w:val="004845C4"/>
    <w:rsid w:val="004847EF"/>
    <w:rsid w:val="004854C6"/>
    <w:rsid w:val="0048557C"/>
    <w:rsid w:val="00485F1B"/>
    <w:rsid w:val="00486670"/>
    <w:rsid w:val="00486B64"/>
    <w:rsid w:val="00486C75"/>
    <w:rsid w:val="00486ECA"/>
    <w:rsid w:val="00487069"/>
    <w:rsid w:val="004876FD"/>
    <w:rsid w:val="00490616"/>
    <w:rsid w:val="00490A25"/>
    <w:rsid w:val="00490CC5"/>
    <w:rsid w:val="00492048"/>
    <w:rsid w:val="0049229A"/>
    <w:rsid w:val="0049237C"/>
    <w:rsid w:val="004927D9"/>
    <w:rsid w:val="00492CD9"/>
    <w:rsid w:val="004944F4"/>
    <w:rsid w:val="0049465B"/>
    <w:rsid w:val="00497473"/>
    <w:rsid w:val="00497865"/>
    <w:rsid w:val="00497B10"/>
    <w:rsid w:val="004A0507"/>
    <w:rsid w:val="004A131F"/>
    <w:rsid w:val="004A16D1"/>
    <w:rsid w:val="004A16EC"/>
    <w:rsid w:val="004A1D61"/>
    <w:rsid w:val="004A303E"/>
    <w:rsid w:val="004A35B7"/>
    <w:rsid w:val="004A36EE"/>
    <w:rsid w:val="004A3D5B"/>
    <w:rsid w:val="004A4048"/>
    <w:rsid w:val="004A4197"/>
    <w:rsid w:val="004A59AD"/>
    <w:rsid w:val="004A5EAE"/>
    <w:rsid w:val="004A5FDC"/>
    <w:rsid w:val="004A6155"/>
    <w:rsid w:val="004A6710"/>
    <w:rsid w:val="004A7A11"/>
    <w:rsid w:val="004B0D50"/>
    <w:rsid w:val="004B1208"/>
    <w:rsid w:val="004B12EA"/>
    <w:rsid w:val="004B2986"/>
    <w:rsid w:val="004B2F5B"/>
    <w:rsid w:val="004B3924"/>
    <w:rsid w:val="004B4748"/>
    <w:rsid w:val="004B515B"/>
    <w:rsid w:val="004B51F1"/>
    <w:rsid w:val="004B5565"/>
    <w:rsid w:val="004B5590"/>
    <w:rsid w:val="004B597E"/>
    <w:rsid w:val="004B5E3F"/>
    <w:rsid w:val="004B679D"/>
    <w:rsid w:val="004B6C2E"/>
    <w:rsid w:val="004B718F"/>
    <w:rsid w:val="004B726C"/>
    <w:rsid w:val="004B7BFF"/>
    <w:rsid w:val="004B7F9B"/>
    <w:rsid w:val="004C0ACC"/>
    <w:rsid w:val="004C0E61"/>
    <w:rsid w:val="004C12D4"/>
    <w:rsid w:val="004C16F3"/>
    <w:rsid w:val="004C1B32"/>
    <w:rsid w:val="004C24EE"/>
    <w:rsid w:val="004C2703"/>
    <w:rsid w:val="004C31D8"/>
    <w:rsid w:val="004C3B86"/>
    <w:rsid w:val="004C3DB6"/>
    <w:rsid w:val="004C3EC4"/>
    <w:rsid w:val="004C4A5C"/>
    <w:rsid w:val="004C605D"/>
    <w:rsid w:val="004C6934"/>
    <w:rsid w:val="004C6AC8"/>
    <w:rsid w:val="004C6B7D"/>
    <w:rsid w:val="004D0ACA"/>
    <w:rsid w:val="004D1208"/>
    <w:rsid w:val="004D158C"/>
    <w:rsid w:val="004D2B50"/>
    <w:rsid w:val="004D399F"/>
    <w:rsid w:val="004D4826"/>
    <w:rsid w:val="004D517A"/>
    <w:rsid w:val="004D5787"/>
    <w:rsid w:val="004D6E65"/>
    <w:rsid w:val="004D7361"/>
    <w:rsid w:val="004D7FBA"/>
    <w:rsid w:val="004E017E"/>
    <w:rsid w:val="004E2482"/>
    <w:rsid w:val="004E2A23"/>
    <w:rsid w:val="004E32DF"/>
    <w:rsid w:val="004E3DCC"/>
    <w:rsid w:val="004E5C77"/>
    <w:rsid w:val="004E5F70"/>
    <w:rsid w:val="004E60E3"/>
    <w:rsid w:val="004E63E2"/>
    <w:rsid w:val="004E69AF"/>
    <w:rsid w:val="004E6B49"/>
    <w:rsid w:val="004E6E06"/>
    <w:rsid w:val="004E6FDA"/>
    <w:rsid w:val="004E7A36"/>
    <w:rsid w:val="004F071D"/>
    <w:rsid w:val="004F0747"/>
    <w:rsid w:val="004F16F1"/>
    <w:rsid w:val="004F1F55"/>
    <w:rsid w:val="004F2169"/>
    <w:rsid w:val="004F2263"/>
    <w:rsid w:val="004F27D3"/>
    <w:rsid w:val="004F3412"/>
    <w:rsid w:val="004F40DF"/>
    <w:rsid w:val="004F4223"/>
    <w:rsid w:val="004F427A"/>
    <w:rsid w:val="004F46BF"/>
    <w:rsid w:val="004F4907"/>
    <w:rsid w:val="004F498A"/>
    <w:rsid w:val="004F49DA"/>
    <w:rsid w:val="004F54CE"/>
    <w:rsid w:val="004F5B53"/>
    <w:rsid w:val="004F6497"/>
    <w:rsid w:val="004F6767"/>
    <w:rsid w:val="004F678D"/>
    <w:rsid w:val="004F6AE6"/>
    <w:rsid w:val="004F74DE"/>
    <w:rsid w:val="004F7599"/>
    <w:rsid w:val="004F7CA0"/>
    <w:rsid w:val="00500351"/>
    <w:rsid w:val="005010D4"/>
    <w:rsid w:val="00501841"/>
    <w:rsid w:val="00501869"/>
    <w:rsid w:val="00501EA1"/>
    <w:rsid w:val="00501F5B"/>
    <w:rsid w:val="00504C4C"/>
    <w:rsid w:val="00504D7B"/>
    <w:rsid w:val="005050F2"/>
    <w:rsid w:val="00505E81"/>
    <w:rsid w:val="0050629B"/>
    <w:rsid w:val="00506AFD"/>
    <w:rsid w:val="00507AA7"/>
    <w:rsid w:val="005105D0"/>
    <w:rsid w:val="00510A0C"/>
    <w:rsid w:val="005113D9"/>
    <w:rsid w:val="00511455"/>
    <w:rsid w:val="00511DCB"/>
    <w:rsid w:val="00512395"/>
    <w:rsid w:val="00512712"/>
    <w:rsid w:val="00512965"/>
    <w:rsid w:val="005129CE"/>
    <w:rsid w:val="00513756"/>
    <w:rsid w:val="00513BFE"/>
    <w:rsid w:val="00514916"/>
    <w:rsid w:val="00514BA9"/>
    <w:rsid w:val="00514DE4"/>
    <w:rsid w:val="0051599A"/>
    <w:rsid w:val="00515F20"/>
    <w:rsid w:val="0051653A"/>
    <w:rsid w:val="00516C14"/>
    <w:rsid w:val="00516F63"/>
    <w:rsid w:val="0052007B"/>
    <w:rsid w:val="005204B2"/>
    <w:rsid w:val="00520E3C"/>
    <w:rsid w:val="00521062"/>
    <w:rsid w:val="0052129E"/>
    <w:rsid w:val="0052212D"/>
    <w:rsid w:val="005222CF"/>
    <w:rsid w:val="00522420"/>
    <w:rsid w:val="005241F2"/>
    <w:rsid w:val="005249F3"/>
    <w:rsid w:val="00524FCF"/>
    <w:rsid w:val="005254CE"/>
    <w:rsid w:val="0052597F"/>
    <w:rsid w:val="00525E16"/>
    <w:rsid w:val="00525FFB"/>
    <w:rsid w:val="0052620B"/>
    <w:rsid w:val="005263DB"/>
    <w:rsid w:val="00526A1E"/>
    <w:rsid w:val="00526CF9"/>
    <w:rsid w:val="005270F7"/>
    <w:rsid w:val="00527B0A"/>
    <w:rsid w:val="00530043"/>
    <w:rsid w:val="00530102"/>
    <w:rsid w:val="0053074A"/>
    <w:rsid w:val="00531233"/>
    <w:rsid w:val="005318C8"/>
    <w:rsid w:val="00531A44"/>
    <w:rsid w:val="00532210"/>
    <w:rsid w:val="0053226E"/>
    <w:rsid w:val="005329B3"/>
    <w:rsid w:val="00532DB5"/>
    <w:rsid w:val="00534405"/>
    <w:rsid w:val="0053535F"/>
    <w:rsid w:val="00535D83"/>
    <w:rsid w:val="00536485"/>
    <w:rsid w:val="00536771"/>
    <w:rsid w:val="0053685D"/>
    <w:rsid w:val="005373D5"/>
    <w:rsid w:val="00537555"/>
    <w:rsid w:val="00537720"/>
    <w:rsid w:val="00537A2A"/>
    <w:rsid w:val="005403E2"/>
    <w:rsid w:val="005406D4"/>
    <w:rsid w:val="00540A08"/>
    <w:rsid w:val="00540BDE"/>
    <w:rsid w:val="005421A6"/>
    <w:rsid w:val="00542518"/>
    <w:rsid w:val="0054296A"/>
    <w:rsid w:val="005429E5"/>
    <w:rsid w:val="00542AB6"/>
    <w:rsid w:val="00543876"/>
    <w:rsid w:val="00543D01"/>
    <w:rsid w:val="00543D31"/>
    <w:rsid w:val="00543D83"/>
    <w:rsid w:val="005442C1"/>
    <w:rsid w:val="00544696"/>
    <w:rsid w:val="0054578A"/>
    <w:rsid w:val="00545A27"/>
    <w:rsid w:val="00545AEC"/>
    <w:rsid w:val="00547936"/>
    <w:rsid w:val="00550118"/>
    <w:rsid w:val="005508E9"/>
    <w:rsid w:val="005509A5"/>
    <w:rsid w:val="0055182C"/>
    <w:rsid w:val="00552257"/>
    <w:rsid w:val="0055375F"/>
    <w:rsid w:val="00553E99"/>
    <w:rsid w:val="00554AF7"/>
    <w:rsid w:val="00554D7F"/>
    <w:rsid w:val="0055593C"/>
    <w:rsid w:val="00556976"/>
    <w:rsid w:val="005570DA"/>
    <w:rsid w:val="005576F9"/>
    <w:rsid w:val="00557713"/>
    <w:rsid w:val="0055787B"/>
    <w:rsid w:val="00557EEB"/>
    <w:rsid w:val="005601A1"/>
    <w:rsid w:val="005602F0"/>
    <w:rsid w:val="00560661"/>
    <w:rsid w:val="005608E6"/>
    <w:rsid w:val="00560A3C"/>
    <w:rsid w:val="00560D36"/>
    <w:rsid w:val="00561320"/>
    <w:rsid w:val="00561D65"/>
    <w:rsid w:val="00562120"/>
    <w:rsid w:val="00562497"/>
    <w:rsid w:val="00562735"/>
    <w:rsid w:val="00562B60"/>
    <w:rsid w:val="005639CA"/>
    <w:rsid w:val="00563BC7"/>
    <w:rsid w:val="005671C3"/>
    <w:rsid w:val="0057052A"/>
    <w:rsid w:val="00570C9E"/>
    <w:rsid w:val="00570F90"/>
    <w:rsid w:val="0057118A"/>
    <w:rsid w:val="0057130F"/>
    <w:rsid w:val="00571477"/>
    <w:rsid w:val="005714A0"/>
    <w:rsid w:val="00571F01"/>
    <w:rsid w:val="0057216B"/>
    <w:rsid w:val="005727E3"/>
    <w:rsid w:val="0057295A"/>
    <w:rsid w:val="00572B4B"/>
    <w:rsid w:val="00574F31"/>
    <w:rsid w:val="00575043"/>
    <w:rsid w:val="0057657B"/>
    <w:rsid w:val="0057664E"/>
    <w:rsid w:val="00576A7A"/>
    <w:rsid w:val="00577369"/>
    <w:rsid w:val="00577539"/>
    <w:rsid w:val="00580C63"/>
    <w:rsid w:val="005812DC"/>
    <w:rsid w:val="00582D6A"/>
    <w:rsid w:val="005833B3"/>
    <w:rsid w:val="00583E45"/>
    <w:rsid w:val="00583ED3"/>
    <w:rsid w:val="0058417F"/>
    <w:rsid w:val="00584199"/>
    <w:rsid w:val="00584391"/>
    <w:rsid w:val="00584A2F"/>
    <w:rsid w:val="00584D46"/>
    <w:rsid w:val="00585DA8"/>
    <w:rsid w:val="005865AF"/>
    <w:rsid w:val="005865F8"/>
    <w:rsid w:val="00586AC8"/>
    <w:rsid w:val="00586DFA"/>
    <w:rsid w:val="00587733"/>
    <w:rsid w:val="0059198C"/>
    <w:rsid w:val="005919CC"/>
    <w:rsid w:val="00591A8A"/>
    <w:rsid w:val="005920F8"/>
    <w:rsid w:val="00592637"/>
    <w:rsid w:val="00592789"/>
    <w:rsid w:val="0059280B"/>
    <w:rsid w:val="0059301F"/>
    <w:rsid w:val="00593327"/>
    <w:rsid w:val="0059493A"/>
    <w:rsid w:val="00594A9A"/>
    <w:rsid w:val="00595487"/>
    <w:rsid w:val="00595842"/>
    <w:rsid w:val="00595AB2"/>
    <w:rsid w:val="00595D64"/>
    <w:rsid w:val="0059636A"/>
    <w:rsid w:val="005967C6"/>
    <w:rsid w:val="00596C53"/>
    <w:rsid w:val="00597E30"/>
    <w:rsid w:val="00597EBE"/>
    <w:rsid w:val="005A19A0"/>
    <w:rsid w:val="005A1AC4"/>
    <w:rsid w:val="005A1FA8"/>
    <w:rsid w:val="005A204D"/>
    <w:rsid w:val="005A23F8"/>
    <w:rsid w:val="005A33D9"/>
    <w:rsid w:val="005A3E4B"/>
    <w:rsid w:val="005A4374"/>
    <w:rsid w:val="005A4B10"/>
    <w:rsid w:val="005A4E7A"/>
    <w:rsid w:val="005A58B9"/>
    <w:rsid w:val="005A59DE"/>
    <w:rsid w:val="005A5B68"/>
    <w:rsid w:val="005A622B"/>
    <w:rsid w:val="005A6252"/>
    <w:rsid w:val="005A670E"/>
    <w:rsid w:val="005A71B4"/>
    <w:rsid w:val="005A7AB5"/>
    <w:rsid w:val="005B136B"/>
    <w:rsid w:val="005B1A9A"/>
    <w:rsid w:val="005B34B9"/>
    <w:rsid w:val="005B45EF"/>
    <w:rsid w:val="005B4852"/>
    <w:rsid w:val="005B543C"/>
    <w:rsid w:val="005B5600"/>
    <w:rsid w:val="005B6295"/>
    <w:rsid w:val="005B6691"/>
    <w:rsid w:val="005B6CBB"/>
    <w:rsid w:val="005B7B72"/>
    <w:rsid w:val="005B7CBF"/>
    <w:rsid w:val="005B7D0B"/>
    <w:rsid w:val="005B7D50"/>
    <w:rsid w:val="005C0131"/>
    <w:rsid w:val="005C031F"/>
    <w:rsid w:val="005C0F51"/>
    <w:rsid w:val="005C19C2"/>
    <w:rsid w:val="005C19CC"/>
    <w:rsid w:val="005C1A4D"/>
    <w:rsid w:val="005C1A67"/>
    <w:rsid w:val="005C1F9D"/>
    <w:rsid w:val="005C206D"/>
    <w:rsid w:val="005C2580"/>
    <w:rsid w:val="005C291B"/>
    <w:rsid w:val="005C2C0D"/>
    <w:rsid w:val="005C3DF5"/>
    <w:rsid w:val="005C3E56"/>
    <w:rsid w:val="005C536B"/>
    <w:rsid w:val="005C55ED"/>
    <w:rsid w:val="005C5690"/>
    <w:rsid w:val="005C5F79"/>
    <w:rsid w:val="005C6324"/>
    <w:rsid w:val="005C6478"/>
    <w:rsid w:val="005C736B"/>
    <w:rsid w:val="005C763A"/>
    <w:rsid w:val="005C79D4"/>
    <w:rsid w:val="005C7E0A"/>
    <w:rsid w:val="005D08AF"/>
    <w:rsid w:val="005D0B97"/>
    <w:rsid w:val="005D162A"/>
    <w:rsid w:val="005D1B7E"/>
    <w:rsid w:val="005D1F31"/>
    <w:rsid w:val="005D2178"/>
    <w:rsid w:val="005D3682"/>
    <w:rsid w:val="005D377F"/>
    <w:rsid w:val="005D38D8"/>
    <w:rsid w:val="005D3F68"/>
    <w:rsid w:val="005D400F"/>
    <w:rsid w:val="005D447B"/>
    <w:rsid w:val="005D4F36"/>
    <w:rsid w:val="005D52C8"/>
    <w:rsid w:val="005D53E6"/>
    <w:rsid w:val="005D54E9"/>
    <w:rsid w:val="005D588D"/>
    <w:rsid w:val="005D596C"/>
    <w:rsid w:val="005D5A76"/>
    <w:rsid w:val="005D5F88"/>
    <w:rsid w:val="005D6CFD"/>
    <w:rsid w:val="005D7C3F"/>
    <w:rsid w:val="005D7DE5"/>
    <w:rsid w:val="005E05FF"/>
    <w:rsid w:val="005E084A"/>
    <w:rsid w:val="005E0DE7"/>
    <w:rsid w:val="005E11FC"/>
    <w:rsid w:val="005E2259"/>
    <w:rsid w:val="005E240F"/>
    <w:rsid w:val="005E281D"/>
    <w:rsid w:val="005E4943"/>
    <w:rsid w:val="005E55B6"/>
    <w:rsid w:val="005E59E2"/>
    <w:rsid w:val="005E6072"/>
    <w:rsid w:val="005E7D79"/>
    <w:rsid w:val="005F0565"/>
    <w:rsid w:val="005F0602"/>
    <w:rsid w:val="005F161E"/>
    <w:rsid w:val="005F1B4D"/>
    <w:rsid w:val="005F2393"/>
    <w:rsid w:val="005F3427"/>
    <w:rsid w:val="005F3680"/>
    <w:rsid w:val="005F385B"/>
    <w:rsid w:val="005F3A5D"/>
    <w:rsid w:val="005F6240"/>
    <w:rsid w:val="005F69AE"/>
    <w:rsid w:val="005F6C47"/>
    <w:rsid w:val="005F71B6"/>
    <w:rsid w:val="005F7F67"/>
    <w:rsid w:val="006006B8"/>
    <w:rsid w:val="00600F77"/>
    <w:rsid w:val="00601A79"/>
    <w:rsid w:val="00602222"/>
    <w:rsid w:val="0060234E"/>
    <w:rsid w:val="006025B0"/>
    <w:rsid w:val="006029EC"/>
    <w:rsid w:val="00602B15"/>
    <w:rsid w:val="00605152"/>
    <w:rsid w:val="00605741"/>
    <w:rsid w:val="0060624F"/>
    <w:rsid w:val="0060627D"/>
    <w:rsid w:val="00606374"/>
    <w:rsid w:val="006074E1"/>
    <w:rsid w:val="00607E83"/>
    <w:rsid w:val="006107BE"/>
    <w:rsid w:val="00611186"/>
    <w:rsid w:val="00611652"/>
    <w:rsid w:val="00611DE9"/>
    <w:rsid w:val="00611F6A"/>
    <w:rsid w:val="00612205"/>
    <w:rsid w:val="00612922"/>
    <w:rsid w:val="0061303B"/>
    <w:rsid w:val="0061459A"/>
    <w:rsid w:val="006145FD"/>
    <w:rsid w:val="0061485B"/>
    <w:rsid w:val="006150C0"/>
    <w:rsid w:val="0061594A"/>
    <w:rsid w:val="00615AEE"/>
    <w:rsid w:val="00615C85"/>
    <w:rsid w:val="00615DAA"/>
    <w:rsid w:val="0061704D"/>
    <w:rsid w:val="00617724"/>
    <w:rsid w:val="00617773"/>
    <w:rsid w:val="00621332"/>
    <w:rsid w:val="006230C6"/>
    <w:rsid w:val="00623721"/>
    <w:rsid w:val="00623FF7"/>
    <w:rsid w:val="0062403B"/>
    <w:rsid w:val="0062421F"/>
    <w:rsid w:val="0062428B"/>
    <w:rsid w:val="006245D5"/>
    <w:rsid w:val="00624BFC"/>
    <w:rsid w:val="00625258"/>
    <w:rsid w:val="00625C62"/>
    <w:rsid w:val="006263CE"/>
    <w:rsid w:val="00626490"/>
    <w:rsid w:val="006270F2"/>
    <w:rsid w:val="006271A0"/>
    <w:rsid w:val="0062791D"/>
    <w:rsid w:val="00630E31"/>
    <w:rsid w:val="00631589"/>
    <w:rsid w:val="0063289F"/>
    <w:rsid w:val="00633C07"/>
    <w:rsid w:val="00633C29"/>
    <w:rsid w:val="006341FB"/>
    <w:rsid w:val="00634529"/>
    <w:rsid w:val="00634798"/>
    <w:rsid w:val="0063482D"/>
    <w:rsid w:val="00634B16"/>
    <w:rsid w:val="00635E6F"/>
    <w:rsid w:val="00636303"/>
    <w:rsid w:val="00636319"/>
    <w:rsid w:val="0063659B"/>
    <w:rsid w:val="00636942"/>
    <w:rsid w:val="00640338"/>
    <w:rsid w:val="0064105D"/>
    <w:rsid w:val="00641500"/>
    <w:rsid w:val="00643DF7"/>
    <w:rsid w:val="0064419D"/>
    <w:rsid w:val="00644829"/>
    <w:rsid w:val="006459EE"/>
    <w:rsid w:val="00645BD7"/>
    <w:rsid w:val="00645EF6"/>
    <w:rsid w:val="00646587"/>
    <w:rsid w:val="006465E0"/>
    <w:rsid w:val="006467E9"/>
    <w:rsid w:val="00646F68"/>
    <w:rsid w:val="00647137"/>
    <w:rsid w:val="00647325"/>
    <w:rsid w:val="00647776"/>
    <w:rsid w:val="006522A8"/>
    <w:rsid w:val="006525B9"/>
    <w:rsid w:val="00652DDB"/>
    <w:rsid w:val="0065303C"/>
    <w:rsid w:val="006536DF"/>
    <w:rsid w:val="00653ABF"/>
    <w:rsid w:val="00654050"/>
    <w:rsid w:val="00655925"/>
    <w:rsid w:val="00655A04"/>
    <w:rsid w:val="0065625B"/>
    <w:rsid w:val="00656C17"/>
    <w:rsid w:val="006572D9"/>
    <w:rsid w:val="006573D9"/>
    <w:rsid w:val="0065769B"/>
    <w:rsid w:val="006579FD"/>
    <w:rsid w:val="00657AB1"/>
    <w:rsid w:val="00660004"/>
    <w:rsid w:val="006607B6"/>
    <w:rsid w:val="00661A3D"/>
    <w:rsid w:val="00661EB8"/>
    <w:rsid w:val="006621D9"/>
    <w:rsid w:val="00662C95"/>
    <w:rsid w:val="00662DF1"/>
    <w:rsid w:val="006635DA"/>
    <w:rsid w:val="006637BE"/>
    <w:rsid w:val="00663889"/>
    <w:rsid w:val="006639BB"/>
    <w:rsid w:val="00663CF6"/>
    <w:rsid w:val="006648EE"/>
    <w:rsid w:val="00664A56"/>
    <w:rsid w:val="00664AE6"/>
    <w:rsid w:val="00664C8D"/>
    <w:rsid w:val="006653E5"/>
    <w:rsid w:val="006655FE"/>
    <w:rsid w:val="006671CE"/>
    <w:rsid w:val="00667461"/>
    <w:rsid w:val="0066769A"/>
    <w:rsid w:val="00667EB0"/>
    <w:rsid w:val="0067020B"/>
    <w:rsid w:val="006702F3"/>
    <w:rsid w:val="006711BD"/>
    <w:rsid w:val="006712DA"/>
    <w:rsid w:val="00671750"/>
    <w:rsid w:val="00672605"/>
    <w:rsid w:val="006733A7"/>
    <w:rsid w:val="006736C0"/>
    <w:rsid w:val="00673B6B"/>
    <w:rsid w:val="00673F60"/>
    <w:rsid w:val="00674430"/>
    <w:rsid w:val="00674645"/>
    <w:rsid w:val="00675917"/>
    <w:rsid w:val="00675B1F"/>
    <w:rsid w:val="00676C85"/>
    <w:rsid w:val="00676F60"/>
    <w:rsid w:val="00677299"/>
    <w:rsid w:val="006772B5"/>
    <w:rsid w:val="00680DB1"/>
    <w:rsid w:val="00681F79"/>
    <w:rsid w:val="00682308"/>
    <w:rsid w:val="00683491"/>
    <w:rsid w:val="00683ECF"/>
    <w:rsid w:val="00684877"/>
    <w:rsid w:val="006851BC"/>
    <w:rsid w:val="00686BC3"/>
    <w:rsid w:val="0068722C"/>
    <w:rsid w:val="00687821"/>
    <w:rsid w:val="00687B45"/>
    <w:rsid w:val="00687D9F"/>
    <w:rsid w:val="00690F4B"/>
    <w:rsid w:val="0069156B"/>
    <w:rsid w:val="0069170F"/>
    <w:rsid w:val="00691D8F"/>
    <w:rsid w:val="00692250"/>
    <w:rsid w:val="00692D00"/>
    <w:rsid w:val="00692F14"/>
    <w:rsid w:val="00692FE2"/>
    <w:rsid w:val="00693B6F"/>
    <w:rsid w:val="00693D10"/>
    <w:rsid w:val="00694233"/>
    <w:rsid w:val="0069469E"/>
    <w:rsid w:val="00694DB9"/>
    <w:rsid w:val="00695D34"/>
    <w:rsid w:val="006962EA"/>
    <w:rsid w:val="00696825"/>
    <w:rsid w:val="00696A48"/>
    <w:rsid w:val="0069733F"/>
    <w:rsid w:val="006A04CA"/>
    <w:rsid w:val="006A07D6"/>
    <w:rsid w:val="006A0FEE"/>
    <w:rsid w:val="006A1152"/>
    <w:rsid w:val="006A157A"/>
    <w:rsid w:val="006A1653"/>
    <w:rsid w:val="006A241B"/>
    <w:rsid w:val="006A2D03"/>
    <w:rsid w:val="006A2D82"/>
    <w:rsid w:val="006A2F2C"/>
    <w:rsid w:val="006A33D9"/>
    <w:rsid w:val="006A3A58"/>
    <w:rsid w:val="006A42E7"/>
    <w:rsid w:val="006A45C7"/>
    <w:rsid w:val="006A4A39"/>
    <w:rsid w:val="006A5962"/>
    <w:rsid w:val="006A67D3"/>
    <w:rsid w:val="006A7B5D"/>
    <w:rsid w:val="006B020E"/>
    <w:rsid w:val="006B09AC"/>
    <w:rsid w:val="006B0C7F"/>
    <w:rsid w:val="006B0EB0"/>
    <w:rsid w:val="006B1679"/>
    <w:rsid w:val="006B1955"/>
    <w:rsid w:val="006B1C83"/>
    <w:rsid w:val="006B1F5B"/>
    <w:rsid w:val="006B2300"/>
    <w:rsid w:val="006B2F71"/>
    <w:rsid w:val="006B3656"/>
    <w:rsid w:val="006B37BF"/>
    <w:rsid w:val="006B4394"/>
    <w:rsid w:val="006B5415"/>
    <w:rsid w:val="006B550B"/>
    <w:rsid w:val="006B5604"/>
    <w:rsid w:val="006B646C"/>
    <w:rsid w:val="006B6754"/>
    <w:rsid w:val="006B6A9F"/>
    <w:rsid w:val="006B6FE6"/>
    <w:rsid w:val="006C0796"/>
    <w:rsid w:val="006C1C36"/>
    <w:rsid w:val="006C300A"/>
    <w:rsid w:val="006C348A"/>
    <w:rsid w:val="006C3B59"/>
    <w:rsid w:val="006C4E2D"/>
    <w:rsid w:val="006C4E2E"/>
    <w:rsid w:val="006C4F32"/>
    <w:rsid w:val="006C51F7"/>
    <w:rsid w:val="006C55B5"/>
    <w:rsid w:val="006C5791"/>
    <w:rsid w:val="006C6761"/>
    <w:rsid w:val="006C6E14"/>
    <w:rsid w:val="006C7455"/>
    <w:rsid w:val="006C7576"/>
    <w:rsid w:val="006D0D75"/>
    <w:rsid w:val="006D1508"/>
    <w:rsid w:val="006D221E"/>
    <w:rsid w:val="006D27DE"/>
    <w:rsid w:val="006D3034"/>
    <w:rsid w:val="006D33E5"/>
    <w:rsid w:val="006D3BA3"/>
    <w:rsid w:val="006D3DA9"/>
    <w:rsid w:val="006D4439"/>
    <w:rsid w:val="006D46F3"/>
    <w:rsid w:val="006D48EC"/>
    <w:rsid w:val="006D5BC1"/>
    <w:rsid w:val="006D5F4E"/>
    <w:rsid w:val="006D6160"/>
    <w:rsid w:val="006D711A"/>
    <w:rsid w:val="006E02A4"/>
    <w:rsid w:val="006E0D40"/>
    <w:rsid w:val="006E1056"/>
    <w:rsid w:val="006E244D"/>
    <w:rsid w:val="006E2510"/>
    <w:rsid w:val="006E294B"/>
    <w:rsid w:val="006E45B4"/>
    <w:rsid w:val="006E51EA"/>
    <w:rsid w:val="006E573B"/>
    <w:rsid w:val="006E5E03"/>
    <w:rsid w:val="006E7537"/>
    <w:rsid w:val="006E7578"/>
    <w:rsid w:val="006E77C4"/>
    <w:rsid w:val="006E7A06"/>
    <w:rsid w:val="006F0B59"/>
    <w:rsid w:val="006F22F7"/>
    <w:rsid w:val="006F2941"/>
    <w:rsid w:val="006F2F98"/>
    <w:rsid w:val="006F3EF0"/>
    <w:rsid w:val="006F498F"/>
    <w:rsid w:val="006F49B1"/>
    <w:rsid w:val="006F5280"/>
    <w:rsid w:val="006F55B5"/>
    <w:rsid w:val="006F59BC"/>
    <w:rsid w:val="006F5CE6"/>
    <w:rsid w:val="006F66E1"/>
    <w:rsid w:val="006F6714"/>
    <w:rsid w:val="006F6973"/>
    <w:rsid w:val="006F70C0"/>
    <w:rsid w:val="006F743F"/>
    <w:rsid w:val="006F77BF"/>
    <w:rsid w:val="006F7B5A"/>
    <w:rsid w:val="006F7DC5"/>
    <w:rsid w:val="007001F6"/>
    <w:rsid w:val="007002C4"/>
    <w:rsid w:val="00701E05"/>
    <w:rsid w:val="00701EDF"/>
    <w:rsid w:val="00702C10"/>
    <w:rsid w:val="00702E64"/>
    <w:rsid w:val="007039D4"/>
    <w:rsid w:val="00703C82"/>
    <w:rsid w:val="00704164"/>
    <w:rsid w:val="00704968"/>
    <w:rsid w:val="00705107"/>
    <w:rsid w:val="00705136"/>
    <w:rsid w:val="00706632"/>
    <w:rsid w:val="00707D56"/>
    <w:rsid w:val="00710DEE"/>
    <w:rsid w:val="00711564"/>
    <w:rsid w:val="00711ADE"/>
    <w:rsid w:val="00711DCB"/>
    <w:rsid w:val="0071288C"/>
    <w:rsid w:val="00712CA8"/>
    <w:rsid w:val="007140B4"/>
    <w:rsid w:val="00714476"/>
    <w:rsid w:val="00714CB3"/>
    <w:rsid w:val="0071547A"/>
    <w:rsid w:val="0071612D"/>
    <w:rsid w:val="0071760B"/>
    <w:rsid w:val="0071768C"/>
    <w:rsid w:val="00717839"/>
    <w:rsid w:val="00717FDD"/>
    <w:rsid w:val="007204EE"/>
    <w:rsid w:val="00721641"/>
    <w:rsid w:val="0072182E"/>
    <w:rsid w:val="00722730"/>
    <w:rsid w:val="007229CA"/>
    <w:rsid w:val="00722D37"/>
    <w:rsid w:val="00723FEA"/>
    <w:rsid w:val="00724F2B"/>
    <w:rsid w:val="00724FC0"/>
    <w:rsid w:val="007253B9"/>
    <w:rsid w:val="00725EAB"/>
    <w:rsid w:val="00725F4C"/>
    <w:rsid w:val="00726A1D"/>
    <w:rsid w:val="007302AC"/>
    <w:rsid w:val="0073041B"/>
    <w:rsid w:val="00730421"/>
    <w:rsid w:val="0073090D"/>
    <w:rsid w:val="007309F8"/>
    <w:rsid w:val="00730DA4"/>
    <w:rsid w:val="007310CE"/>
    <w:rsid w:val="007311A8"/>
    <w:rsid w:val="007315E6"/>
    <w:rsid w:val="007317F7"/>
    <w:rsid w:val="00731EDD"/>
    <w:rsid w:val="0073201A"/>
    <w:rsid w:val="007329D2"/>
    <w:rsid w:val="00732A67"/>
    <w:rsid w:val="00732C40"/>
    <w:rsid w:val="00732F80"/>
    <w:rsid w:val="007330D9"/>
    <w:rsid w:val="007336DD"/>
    <w:rsid w:val="007342E4"/>
    <w:rsid w:val="007347E1"/>
    <w:rsid w:val="00734ACE"/>
    <w:rsid w:val="007350B7"/>
    <w:rsid w:val="0073529A"/>
    <w:rsid w:val="00735855"/>
    <w:rsid w:val="00736033"/>
    <w:rsid w:val="00736381"/>
    <w:rsid w:val="00736F9E"/>
    <w:rsid w:val="00737339"/>
    <w:rsid w:val="00737760"/>
    <w:rsid w:val="00737AAE"/>
    <w:rsid w:val="00737BCF"/>
    <w:rsid w:val="00737BF7"/>
    <w:rsid w:val="00737E04"/>
    <w:rsid w:val="00740554"/>
    <w:rsid w:val="00740E55"/>
    <w:rsid w:val="007412DA"/>
    <w:rsid w:val="0074178A"/>
    <w:rsid w:val="00741BF9"/>
    <w:rsid w:val="00743B16"/>
    <w:rsid w:val="007441DA"/>
    <w:rsid w:val="0074433A"/>
    <w:rsid w:val="00744E35"/>
    <w:rsid w:val="007450F9"/>
    <w:rsid w:val="0074527E"/>
    <w:rsid w:val="0074578A"/>
    <w:rsid w:val="0074592D"/>
    <w:rsid w:val="00745CE7"/>
    <w:rsid w:val="00745EC9"/>
    <w:rsid w:val="00747D81"/>
    <w:rsid w:val="00747E85"/>
    <w:rsid w:val="007506D4"/>
    <w:rsid w:val="007506F0"/>
    <w:rsid w:val="00750CB3"/>
    <w:rsid w:val="00751E4F"/>
    <w:rsid w:val="00753BE0"/>
    <w:rsid w:val="007554F9"/>
    <w:rsid w:val="00756574"/>
    <w:rsid w:val="0075661D"/>
    <w:rsid w:val="00756D6B"/>
    <w:rsid w:val="00756DAF"/>
    <w:rsid w:val="00757AA2"/>
    <w:rsid w:val="007604BA"/>
    <w:rsid w:val="00760B2A"/>
    <w:rsid w:val="00760BD1"/>
    <w:rsid w:val="00760DFD"/>
    <w:rsid w:val="00760E3E"/>
    <w:rsid w:val="007613A3"/>
    <w:rsid w:val="007621D6"/>
    <w:rsid w:val="0076237B"/>
    <w:rsid w:val="0076260B"/>
    <w:rsid w:val="00762AAE"/>
    <w:rsid w:val="007635F6"/>
    <w:rsid w:val="007636F6"/>
    <w:rsid w:val="007639D9"/>
    <w:rsid w:val="0076417F"/>
    <w:rsid w:val="007642B6"/>
    <w:rsid w:val="00764784"/>
    <w:rsid w:val="007659CB"/>
    <w:rsid w:val="0076603D"/>
    <w:rsid w:val="0076694A"/>
    <w:rsid w:val="0076791A"/>
    <w:rsid w:val="00770125"/>
    <w:rsid w:val="007708D7"/>
    <w:rsid w:val="0077099A"/>
    <w:rsid w:val="0077218D"/>
    <w:rsid w:val="007726BD"/>
    <w:rsid w:val="00772B55"/>
    <w:rsid w:val="00772B98"/>
    <w:rsid w:val="00773097"/>
    <w:rsid w:val="007736CA"/>
    <w:rsid w:val="00773CF1"/>
    <w:rsid w:val="00773E64"/>
    <w:rsid w:val="00773FEB"/>
    <w:rsid w:val="007745F4"/>
    <w:rsid w:val="0077460B"/>
    <w:rsid w:val="00775195"/>
    <w:rsid w:val="007751B1"/>
    <w:rsid w:val="007751E7"/>
    <w:rsid w:val="00775E15"/>
    <w:rsid w:val="00777B28"/>
    <w:rsid w:val="00777EB5"/>
    <w:rsid w:val="0078040C"/>
    <w:rsid w:val="0078088A"/>
    <w:rsid w:val="00780A07"/>
    <w:rsid w:val="00780C7F"/>
    <w:rsid w:val="00780ED7"/>
    <w:rsid w:val="00781927"/>
    <w:rsid w:val="00782CA5"/>
    <w:rsid w:val="007831E7"/>
    <w:rsid w:val="00783253"/>
    <w:rsid w:val="007836E0"/>
    <w:rsid w:val="00783E54"/>
    <w:rsid w:val="00784C58"/>
    <w:rsid w:val="00784FD5"/>
    <w:rsid w:val="00785944"/>
    <w:rsid w:val="00785B47"/>
    <w:rsid w:val="0078723E"/>
    <w:rsid w:val="0078733F"/>
    <w:rsid w:val="00787444"/>
    <w:rsid w:val="00787618"/>
    <w:rsid w:val="0078774F"/>
    <w:rsid w:val="00787D20"/>
    <w:rsid w:val="007902FE"/>
    <w:rsid w:val="007903CA"/>
    <w:rsid w:val="00790A3C"/>
    <w:rsid w:val="00791CAC"/>
    <w:rsid w:val="007923DF"/>
    <w:rsid w:val="00792856"/>
    <w:rsid w:val="00793D41"/>
    <w:rsid w:val="00794030"/>
    <w:rsid w:val="00794BA5"/>
    <w:rsid w:val="00794F87"/>
    <w:rsid w:val="00795498"/>
    <w:rsid w:val="007954B9"/>
    <w:rsid w:val="00795822"/>
    <w:rsid w:val="00797148"/>
    <w:rsid w:val="007A05E2"/>
    <w:rsid w:val="007A0AB1"/>
    <w:rsid w:val="007A2587"/>
    <w:rsid w:val="007A28C0"/>
    <w:rsid w:val="007A360C"/>
    <w:rsid w:val="007A3FC3"/>
    <w:rsid w:val="007A411F"/>
    <w:rsid w:val="007A4271"/>
    <w:rsid w:val="007A4A16"/>
    <w:rsid w:val="007A4B6D"/>
    <w:rsid w:val="007A4BF1"/>
    <w:rsid w:val="007A5332"/>
    <w:rsid w:val="007A55C2"/>
    <w:rsid w:val="007A5A1B"/>
    <w:rsid w:val="007A611B"/>
    <w:rsid w:val="007A7294"/>
    <w:rsid w:val="007A7480"/>
    <w:rsid w:val="007A7DBC"/>
    <w:rsid w:val="007B092B"/>
    <w:rsid w:val="007B1BE2"/>
    <w:rsid w:val="007B2197"/>
    <w:rsid w:val="007B21DD"/>
    <w:rsid w:val="007B239C"/>
    <w:rsid w:val="007B33DF"/>
    <w:rsid w:val="007B4597"/>
    <w:rsid w:val="007B4E28"/>
    <w:rsid w:val="007B565A"/>
    <w:rsid w:val="007B5889"/>
    <w:rsid w:val="007B6009"/>
    <w:rsid w:val="007B6BF8"/>
    <w:rsid w:val="007B6D1E"/>
    <w:rsid w:val="007B6E1D"/>
    <w:rsid w:val="007B792D"/>
    <w:rsid w:val="007B7C62"/>
    <w:rsid w:val="007C0494"/>
    <w:rsid w:val="007C0528"/>
    <w:rsid w:val="007C0659"/>
    <w:rsid w:val="007C0EB8"/>
    <w:rsid w:val="007C1054"/>
    <w:rsid w:val="007C185F"/>
    <w:rsid w:val="007C1E6B"/>
    <w:rsid w:val="007C2049"/>
    <w:rsid w:val="007C28E8"/>
    <w:rsid w:val="007C315D"/>
    <w:rsid w:val="007C3209"/>
    <w:rsid w:val="007C3342"/>
    <w:rsid w:val="007C33A3"/>
    <w:rsid w:val="007C3D4E"/>
    <w:rsid w:val="007C411F"/>
    <w:rsid w:val="007C5AC3"/>
    <w:rsid w:val="007C5F1D"/>
    <w:rsid w:val="007C6692"/>
    <w:rsid w:val="007C7697"/>
    <w:rsid w:val="007D0279"/>
    <w:rsid w:val="007D08A9"/>
    <w:rsid w:val="007D11E1"/>
    <w:rsid w:val="007D1E77"/>
    <w:rsid w:val="007D22E3"/>
    <w:rsid w:val="007D2482"/>
    <w:rsid w:val="007D2617"/>
    <w:rsid w:val="007D2942"/>
    <w:rsid w:val="007D31CC"/>
    <w:rsid w:val="007D4F36"/>
    <w:rsid w:val="007D54A9"/>
    <w:rsid w:val="007D54DB"/>
    <w:rsid w:val="007D5CC5"/>
    <w:rsid w:val="007D61E8"/>
    <w:rsid w:val="007D6752"/>
    <w:rsid w:val="007D6D57"/>
    <w:rsid w:val="007D7812"/>
    <w:rsid w:val="007E017A"/>
    <w:rsid w:val="007E017F"/>
    <w:rsid w:val="007E088D"/>
    <w:rsid w:val="007E1E3F"/>
    <w:rsid w:val="007E1F25"/>
    <w:rsid w:val="007E25B1"/>
    <w:rsid w:val="007E3478"/>
    <w:rsid w:val="007E372C"/>
    <w:rsid w:val="007E4044"/>
    <w:rsid w:val="007E41AB"/>
    <w:rsid w:val="007E4671"/>
    <w:rsid w:val="007E4AF9"/>
    <w:rsid w:val="007E4BF2"/>
    <w:rsid w:val="007E51E3"/>
    <w:rsid w:val="007E58C9"/>
    <w:rsid w:val="007E64C9"/>
    <w:rsid w:val="007E6B2B"/>
    <w:rsid w:val="007E73F3"/>
    <w:rsid w:val="007E7789"/>
    <w:rsid w:val="007E7B36"/>
    <w:rsid w:val="007E7DB6"/>
    <w:rsid w:val="007F021D"/>
    <w:rsid w:val="007F0DD2"/>
    <w:rsid w:val="007F1CE7"/>
    <w:rsid w:val="007F1F96"/>
    <w:rsid w:val="007F2B65"/>
    <w:rsid w:val="007F3396"/>
    <w:rsid w:val="007F3F5E"/>
    <w:rsid w:val="007F4DEC"/>
    <w:rsid w:val="007F4EA1"/>
    <w:rsid w:val="007F5896"/>
    <w:rsid w:val="007F5A8E"/>
    <w:rsid w:val="007F76C5"/>
    <w:rsid w:val="00800260"/>
    <w:rsid w:val="008002A6"/>
    <w:rsid w:val="00800BC3"/>
    <w:rsid w:val="00801088"/>
    <w:rsid w:val="00801294"/>
    <w:rsid w:val="008024A3"/>
    <w:rsid w:val="008027FD"/>
    <w:rsid w:val="00802ABF"/>
    <w:rsid w:val="00802AED"/>
    <w:rsid w:val="00802E4F"/>
    <w:rsid w:val="0080343E"/>
    <w:rsid w:val="00804ADE"/>
    <w:rsid w:val="00804CC4"/>
    <w:rsid w:val="0080593D"/>
    <w:rsid w:val="008059D6"/>
    <w:rsid w:val="00807224"/>
    <w:rsid w:val="0081006C"/>
    <w:rsid w:val="008114E9"/>
    <w:rsid w:val="008115FA"/>
    <w:rsid w:val="0081370A"/>
    <w:rsid w:val="00813854"/>
    <w:rsid w:val="00814A23"/>
    <w:rsid w:val="00814AFB"/>
    <w:rsid w:val="00815052"/>
    <w:rsid w:val="008153E2"/>
    <w:rsid w:val="00816092"/>
    <w:rsid w:val="00816821"/>
    <w:rsid w:val="00816D61"/>
    <w:rsid w:val="008177AA"/>
    <w:rsid w:val="00817A74"/>
    <w:rsid w:val="00820CF8"/>
    <w:rsid w:val="00821C5D"/>
    <w:rsid w:val="00821F4A"/>
    <w:rsid w:val="008222F4"/>
    <w:rsid w:val="00822A0B"/>
    <w:rsid w:val="00822D94"/>
    <w:rsid w:val="008230AE"/>
    <w:rsid w:val="008232E5"/>
    <w:rsid w:val="008235C8"/>
    <w:rsid w:val="00823BEE"/>
    <w:rsid w:val="0082420A"/>
    <w:rsid w:val="00824656"/>
    <w:rsid w:val="00824B05"/>
    <w:rsid w:val="008253A8"/>
    <w:rsid w:val="00825D4D"/>
    <w:rsid w:val="00825EFF"/>
    <w:rsid w:val="0082611F"/>
    <w:rsid w:val="00826550"/>
    <w:rsid w:val="00826842"/>
    <w:rsid w:val="00826ADC"/>
    <w:rsid w:val="00826B5B"/>
    <w:rsid w:val="00826B8D"/>
    <w:rsid w:val="008273BC"/>
    <w:rsid w:val="0083002C"/>
    <w:rsid w:val="008306AE"/>
    <w:rsid w:val="0083086B"/>
    <w:rsid w:val="00830E7F"/>
    <w:rsid w:val="008316B8"/>
    <w:rsid w:val="00831A32"/>
    <w:rsid w:val="00831CD9"/>
    <w:rsid w:val="00831F3B"/>
    <w:rsid w:val="0083289C"/>
    <w:rsid w:val="00834068"/>
    <w:rsid w:val="00834168"/>
    <w:rsid w:val="00835204"/>
    <w:rsid w:val="00836B17"/>
    <w:rsid w:val="00837563"/>
    <w:rsid w:val="008400D4"/>
    <w:rsid w:val="008404BA"/>
    <w:rsid w:val="00840597"/>
    <w:rsid w:val="00840EF7"/>
    <w:rsid w:val="008412A8"/>
    <w:rsid w:val="008424FF"/>
    <w:rsid w:val="00842F6A"/>
    <w:rsid w:val="00843AB6"/>
    <w:rsid w:val="008449EC"/>
    <w:rsid w:val="00844E4B"/>
    <w:rsid w:val="00845767"/>
    <w:rsid w:val="008457DC"/>
    <w:rsid w:val="00845DA7"/>
    <w:rsid w:val="00846A57"/>
    <w:rsid w:val="00846E59"/>
    <w:rsid w:val="008475E6"/>
    <w:rsid w:val="00847A89"/>
    <w:rsid w:val="00847DF4"/>
    <w:rsid w:val="00847FAF"/>
    <w:rsid w:val="0085057F"/>
    <w:rsid w:val="00850BA4"/>
    <w:rsid w:val="0085183E"/>
    <w:rsid w:val="00851A8E"/>
    <w:rsid w:val="00851ECD"/>
    <w:rsid w:val="00852BE6"/>
    <w:rsid w:val="00853013"/>
    <w:rsid w:val="00853401"/>
    <w:rsid w:val="00853D7E"/>
    <w:rsid w:val="00854608"/>
    <w:rsid w:val="00854ED3"/>
    <w:rsid w:val="00855000"/>
    <w:rsid w:val="008558D7"/>
    <w:rsid w:val="008564C2"/>
    <w:rsid w:val="0085777F"/>
    <w:rsid w:val="00857B66"/>
    <w:rsid w:val="0086010E"/>
    <w:rsid w:val="0086014A"/>
    <w:rsid w:val="0086095B"/>
    <w:rsid w:val="00860B47"/>
    <w:rsid w:val="008615B8"/>
    <w:rsid w:val="00861B9E"/>
    <w:rsid w:val="00861D5E"/>
    <w:rsid w:val="00861F81"/>
    <w:rsid w:val="008635A8"/>
    <w:rsid w:val="00864EBE"/>
    <w:rsid w:val="00870B0D"/>
    <w:rsid w:val="00870C51"/>
    <w:rsid w:val="00871D36"/>
    <w:rsid w:val="00872035"/>
    <w:rsid w:val="008734E3"/>
    <w:rsid w:val="008737CC"/>
    <w:rsid w:val="00873BA3"/>
    <w:rsid w:val="00873CD3"/>
    <w:rsid w:val="008748E3"/>
    <w:rsid w:val="00874A93"/>
    <w:rsid w:val="00874ABF"/>
    <w:rsid w:val="00874FF7"/>
    <w:rsid w:val="008758EB"/>
    <w:rsid w:val="00876615"/>
    <w:rsid w:val="008767DC"/>
    <w:rsid w:val="0088048F"/>
    <w:rsid w:val="00880F0D"/>
    <w:rsid w:val="008817D3"/>
    <w:rsid w:val="00883131"/>
    <w:rsid w:val="0088379A"/>
    <w:rsid w:val="00884459"/>
    <w:rsid w:val="008845DB"/>
    <w:rsid w:val="00884793"/>
    <w:rsid w:val="0088481D"/>
    <w:rsid w:val="00884F06"/>
    <w:rsid w:val="008853FB"/>
    <w:rsid w:val="0088562F"/>
    <w:rsid w:val="00886C7E"/>
    <w:rsid w:val="008875DD"/>
    <w:rsid w:val="008900BA"/>
    <w:rsid w:val="00891565"/>
    <w:rsid w:val="00891AA8"/>
    <w:rsid w:val="0089259E"/>
    <w:rsid w:val="00893711"/>
    <w:rsid w:val="008942F0"/>
    <w:rsid w:val="00894763"/>
    <w:rsid w:val="00894B50"/>
    <w:rsid w:val="00894BA6"/>
    <w:rsid w:val="00894C69"/>
    <w:rsid w:val="008953E9"/>
    <w:rsid w:val="008965FB"/>
    <w:rsid w:val="0089669E"/>
    <w:rsid w:val="00896780"/>
    <w:rsid w:val="00896E3F"/>
    <w:rsid w:val="008979DB"/>
    <w:rsid w:val="008A0076"/>
    <w:rsid w:val="008A0132"/>
    <w:rsid w:val="008A0495"/>
    <w:rsid w:val="008A1005"/>
    <w:rsid w:val="008A2682"/>
    <w:rsid w:val="008A26E6"/>
    <w:rsid w:val="008A3627"/>
    <w:rsid w:val="008A3889"/>
    <w:rsid w:val="008A4856"/>
    <w:rsid w:val="008A5310"/>
    <w:rsid w:val="008A5329"/>
    <w:rsid w:val="008A62B5"/>
    <w:rsid w:val="008A687D"/>
    <w:rsid w:val="008A6C56"/>
    <w:rsid w:val="008A6DF7"/>
    <w:rsid w:val="008A6E84"/>
    <w:rsid w:val="008B0B4A"/>
    <w:rsid w:val="008B0D75"/>
    <w:rsid w:val="008B0F05"/>
    <w:rsid w:val="008B16A5"/>
    <w:rsid w:val="008B16A7"/>
    <w:rsid w:val="008B1D44"/>
    <w:rsid w:val="008B2AF5"/>
    <w:rsid w:val="008B2C1C"/>
    <w:rsid w:val="008B3C47"/>
    <w:rsid w:val="008B4CB8"/>
    <w:rsid w:val="008B4FA2"/>
    <w:rsid w:val="008B54CE"/>
    <w:rsid w:val="008B560B"/>
    <w:rsid w:val="008B5D85"/>
    <w:rsid w:val="008B64F7"/>
    <w:rsid w:val="008B6606"/>
    <w:rsid w:val="008B6857"/>
    <w:rsid w:val="008B6A78"/>
    <w:rsid w:val="008B791E"/>
    <w:rsid w:val="008B7C0E"/>
    <w:rsid w:val="008B7C63"/>
    <w:rsid w:val="008C1738"/>
    <w:rsid w:val="008C1806"/>
    <w:rsid w:val="008C1809"/>
    <w:rsid w:val="008C26D1"/>
    <w:rsid w:val="008C333C"/>
    <w:rsid w:val="008C3634"/>
    <w:rsid w:val="008C3AEF"/>
    <w:rsid w:val="008C3D9C"/>
    <w:rsid w:val="008C4418"/>
    <w:rsid w:val="008C5172"/>
    <w:rsid w:val="008C5647"/>
    <w:rsid w:val="008C5978"/>
    <w:rsid w:val="008C5CC8"/>
    <w:rsid w:val="008C648C"/>
    <w:rsid w:val="008C69C7"/>
    <w:rsid w:val="008C7332"/>
    <w:rsid w:val="008C7E9C"/>
    <w:rsid w:val="008D02D2"/>
    <w:rsid w:val="008D052C"/>
    <w:rsid w:val="008D0AA1"/>
    <w:rsid w:val="008D0D68"/>
    <w:rsid w:val="008D0E5A"/>
    <w:rsid w:val="008D157F"/>
    <w:rsid w:val="008D337D"/>
    <w:rsid w:val="008D4B32"/>
    <w:rsid w:val="008D4EE7"/>
    <w:rsid w:val="008D55D1"/>
    <w:rsid w:val="008E036E"/>
    <w:rsid w:val="008E05EC"/>
    <w:rsid w:val="008E0AD2"/>
    <w:rsid w:val="008E0CC2"/>
    <w:rsid w:val="008E0E63"/>
    <w:rsid w:val="008E0EBD"/>
    <w:rsid w:val="008E23BE"/>
    <w:rsid w:val="008E2D61"/>
    <w:rsid w:val="008E3396"/>
    <w:rsid w:val="008E33ED"/>
    <w:rsid w:val="008E36EF"/>
    <w:rsid w:val="008E3F44"/>
    <w:rsid w:val="008E45AD"/>
    <w:rsid w:val="008E4682"/>
    <w:rsid w:val="008E4737"/>
    <w:rsid w:val="008E53E3"/>
    <w:rsid w:val="008E5537"/>
    <w:rsid w:val="008E5CBE"/>
    <w:rsid w:val="008E6BAE"/>
    <w:rsid w:val="008F0447"/>
    <w:rsid w:val="008F0CAC"/>
    <w:rsid w:val="008F19B4"/>
    <w:rsid w:val="008F2D6D"/>
    <w:rsid w:val="008F2ED9"/>
    <w:rsid w:val="008F3370"/>
    <w:rsid w:val="008F3C4C"/>
    <w:rsid w:val="008F4530"/>
    <w:rsid w:val="008F45C6"/>
    <w:rsid w:val="008F4A83"/>
    <w:rsid w:val="008F4D02"/>
    <w:rsid w:val="008F4E6C"/>
    <w:rsid w:val="008F5330"/>
    <w:rsid w:val="008F5622"/>
    <w:rsid w:val="008F5750"/>
    <w:rsid w:val="008F5A60"/>
    <w:rsid w:val="008F6169"/>
    <w:rsid w:val="008F692E"/>
    <w:rsid w:val="008F6B5A"/>
    <w:rsid w:val="008F6CFE"/>
    <w:rsid w:val="008F75CC"/>
    <w:rsid w:val="008F7D25"/>
    <w:rsid w:val="009003C4"/>
    <w:rsid w:val="00900490"/>
    <w:rsid w:val="00900827"/>
    <w:rsid w:val="00900CAD"/>
    <w:rsid w:val="0090175C"/>
    <w:rsid w:val="00901F9E"/>
    <w:rsid w:val="00902B93"/>
    <w:rsid w:val="00902E3F"/>
    <w:rsid w:val="00902F09"/>
    <w:rsid w:val="009030F5"/>
    <w:rsid w:val="00903331"/>
    <w:rsid w:val="009045E0"/>
    <w:rsid w:val="00904816"/>
    <w:rsid w:val="009048EF"/>
    <w:rsid w:val="009052D8"/>
    <w:rsid w:val="00905412"/>
    <w:rsid w:val="00905E98"/>
    <w:rsid w:val="0090676D"/>
    <w:rsid w:val="009069B4"/>
    <w:rsid w:val="00910373"/>
    <w:rsid w:val="00910573"/>
    <w:rsid w:val="00910C96"/>
    <w:rsid w:val="00910EB8"/>
    <w:rsid w:val="0091150F"/>
    <w:rsid w:val="00911B02"/>
    <w:rsid w:val="00912F54"/>
    <w:rsid w:val="009131A8"/>
    <w:rsid w:val="009133DD"/>
    <w:rsid w:val="009139EE"/>
    <w:rsid w:val="00914494"/>
    <w:rsid w:val="009157F9"/>
    <w:rsid w:val="00915A32"/>
    <w:rsid w:val="009168F2"/>
    <w:rsid w:val="009179ED"/>
    <w:rsid w:val="00920AF6"/>
    <w:rsid w:val="009215F5"/>
    <w:rsid w:val="00921FF7"/>
    <w:rsid w:val="00922129"/>
    <w:rsid w:val="00922ACA"/>
    <w:rsid w:val="0092330B"/>
    <w:rsid w:val="009239E1"/>
    <w:rsid w:val="00923A0F"/>
    <w:rsid w:val="00923A4F"/>
    <w:rsid w:val="00923E6C"/>
    <w:rsid w:val="00923F11"/>
    <w:rsid w:val="00924402"/>
    <w:rsid w:val="00925169"/>
    <w:rsid w:val="00927DAB"/>
    <w:rsid w:val="00930280"/>
    <w:rsid w:val="00931691"/>
    <w:rsid w:val="00932B1A"/>
    <w:rsid w:val="00932CF5"/>
    <w:rsid w:val="00932D7A"/>
    <w:rsid w:val="0093313C"/>
    <w:rsid w:val="00933198"/>
    <w:rsid w:val="009336FF"/>
    <w:rsid w:val="00933B7F"/>
    <w:rsid w:val="00933FD4"/>
    <w:rsid w:val="009358DB"/>
    <w:rsid w:val="00935FB3"/>
    <w:rsid w:val="009361AA"/>
    <w:rsid w:val="00936C70"/>
    <w:rsid w:val="00936D67"/>
    <w:rsid w:val="00936F1D"/>
    <w:rsid w:val="009371DF"/>
    <w:rsid w:val="009371E5"/>
    <w:rsid w:val="00937693"/>
    <w:rsid w:val="009378AB"/>
    <w:rsid w:val="00937B19"/>
    <w:rsid w:val="009404A8"/>
    <w:rsid w:val="009406A4"/>
    <w:rsid w:val="00940869"/>
    <w:rsid w:val="009413AC"/>
    <w:rsid w:val="009417D0"/>
    <w:rsid w:val="00942148"/>
    <w:rsid w:val="0094299E"/>
    <w:rsid w:val="009429A8"/>
    <w:rsid w:val="00943301"/>
    <w:rsid w:val="0094377B"/>
    <w:rsid w:val="00943783"/>
    <w:rsid w:val="009438B3"/>
    <w:rsid w:val="009446A1"/>
    <w:rsid w:val="00944FE9"/>
    <w:rsid w:val="00945216"/>
    <w:rsid w:val="00945747"/>
    <w:rsid w:val="00945C00"/>
    <w:rsid w:val="00946C07"/>
    <w:rsid w:val="009477F8"/>
    <w:rsid w:val="009503B1"/>
    <w:rsid w:val="00950BCA"/>
    <w:rsid w:val="00950BDA"/>
    <w:rsid w:val="009514C2"/>
    <w:rsid w:val="009519AC"/>
    <w:rsid w:val="009523E5"/>
    <w:rsid w:val="0095278D"/>
    <w:rsid w:val="009535C9"/>
    <w:rsid w:val="009535EB"/>
    <w:rsid w:val="0095418B"/>
    <w:rsid w:val="00954537"/>
    <w:rsid w:val="00955465"/>
    <w:rsid w:val="00955680"/>
    <w:rsid w:val="00955FE8"/>
    <w:rsid w:val="00956704"/>
    <w:rsid w:val="0095697E"/>
    <w:rsid w:val="00957755"/>
    <w:rsid w:val="00957B20"/>
    <w:rsid w:val="00962043"/>
    <w:rsid w:val="009625A3"/>
    <w:rsid w:val="00963247"/>
    <w:rsid w:val="0096373F"/>
    <w:rsid w:val="00963D56"/>
    <w:rsid w:val="009643B6"/>
    <w:rsid w:val="00964AEB"/>
    <w:rsid w:val="0096501B"/>
    <w:rsid w:val="00965748"/>
    <w:rsid w:val="00965DBA"/>
    <w:rsid w:val="00966AE3"/>
    <w:rsid w:val="0096793E"/>
    <w:rsid w:val="00970B58"/>
    <w:rsid w:val="0097102B"/>
    <w:rsid w:val="00971956"/>
    <w:rsid w:val="009720C6"/>
    <w:rsid w:val="0097220A"/>
    <w:rsid w:val="00974425"/>
    <w:rsid w:val="0097443C"/>
    <w:rsid w:val="0097486E"/>
    <w:rsid w:val="009748D7"/>
    <w:rsid w:val="00974CB2"/>
    <w:rsid w:val="009753CF"/>
    <w:rsid w:val="009754D1"/>
    <w:rsid w:val="009755C4"/>
    <w:rsid w:val="00975889"/>
    <w:rsid w:val="00975909"/>
    <w:rsid w:val="00975E6D"/>
    <w:rsid w:val="0097600C"/>
    <w:rsid w:val="00976621"/>
    <w:rsid w:val="00976A6D"/>
    <w:rsid w:val="00976DC0"/>
    <w:rsid w:val="00977D81"/>
    <w:rsid w:val="00981072"/>
    <w:rsid w:val="00981863"/>
    <w:rsid w:val="00981A3C"/>
    <w:rsid w:val="00981D31"/>
    <w:rsid w:val="0098280C"/>
    <w:rsid w:val="00983DCA"/>
    <w:rsid w:val="00984DE5"/>
    <w:rsid w:val="00986A1F"/>
    <w:rsid w:val="009903F4"/>
    <w:rsid w:val="0099063A"/>
    <w:rsid w:val="00991628"/>
    <w:rsid w:val="009924CF"/>
    <w:rsid w:val="00992A97"/>
    <w:rsid w:val="00992BB5"/>
    <w:rsid w:val="00992D7D"/>
    <w:rsid w:val="00992EA4"/>
    <w:rsid w:val="00993CB9"/>
    <w:rsid w:val="00993EDC"/>
    <w:rsid w:val="0099469C"/>
    <w:rsid w:val="00994738"/>
    <w:rsid w:val="009947DC"/>
    <w:rsid w:val="00994FF6"/>
    <w:rsid w:val="00995049"/>
    <w:rsid w:val="009954F8"/>
    <w:rsid w:val="00995BE4"/>
    <w:rsid w:val="00995C97"/>
    <w:rsid w:val="0099628E"/>
    <w:rsid w:val="00996941"/>
    <w:rsid w:val="009970C3"/>
    <w:rsid w:val="00997649"/>
    <w:rsid w:val="009979F5"/>
    <w:rsid w:val="00997BB9"/>
    <w:rsid w:val="00997C07"/>
    <w:rsid w:val="00997D12"/>
    <w:rsid w:val="009A0E30"/>
    <w:rsid w:val="009A10EF"/>
    <w:rsid w:val="009A1A4F"/>
    <w:rsid w:val="009A1B26"/>
    <w:rsid w:val="009A2895"/>
    <w:rsid w:val="009A2A12"/>
    <w:rsid w:val="009A52EF"/>
    <w:rsid w:val="009A57AC"/>
    <w:rsid w:val="009A59EC"/>
    <w:rsid w:val="009A5EA5"/>
    <w:rsid w:val="009A63CE"/>
    <w:rsid w:val="009A644D"/>
    <w:rsid w:val="009A6A4C"/>
    <w:rsid w:val="009A6D01"/>
    <w:rsid w:val="009A7082"/>
    <w:rsid w:val="009A72DC"/>
    <w:rsid w:val="009A7853"/>
    <w:rsid w:val="009A79F4"/>
    <w:rsid w:val="009B01A6"/>
    <w:rsid w:val="009B0A70"/>
    <w:rsid w:val="009B0BF7"/>
    <w:rsid w:val="009B0C40"/>
    <w:rsid w:val="009B0CA8"/>
    <w:rsid w:val="009B2EF7"/>
    <w:rsid w:val="009B321A"/>
    <w:rsid w:val="009B32D9"/>
    <w:rsid w:val="009B437E"/>
    <w:rsid w:val="009B53B4"/>
    <w:rsid w:val="009C090C"/>
    <w:rsid w:val="009C0DEA"/>
    <w:rsid w:val="009C14BC"/>
    <w:rsid w:val="009C233C"/>
    <w:rsid w:val="009C2E05"/>
    <w:rsid w:val="009C394E"/>
    <w:rsid w:val="009C472A"/>
    <w:rsid w:val="009C4BA1"/>
    <w:rsid w:val="009C4D82"/>
    <w:rsid w:val="009C55B9"/>
    <w:rsid w:val="009C56B2"/>
    <w:rsid w:val="009C5738"/>
    <w:rsid w:val="009C69DC"/>
    <w:rsid w:val="009C6A31"/>
    <w:rsid w:val="009C6CF0"/>
    <w:rsid w:val="009C70A1"/>
    <w:rsid w:val="009C7F85"/>
    <w:rsid w:val="009D00C7"/>
    <w:rsid w:val="009D083D"/>
    <w:rsid w:val="009D194B"/>
    <w:rsid w:val="009D1AE0"/>
    <w:rsid w:val="009D1C63"/>
    <w:rsid w:val="009D2427"/>
    <w:rsid w:val="009D2DB3"/>
    <w:rsid w:val="009D328E"/>
    <w:rsid w:val="009D353A"/>
    <w:rsid w:val="009D6661"/>
    <w:rsid w:val="009D684F"/>
    <w:rsid w:val="009D6C94"/>
    <w:rsid w:val="009D74BF"/>
    <w:rsid w:val="009D757C"/>
    <w:rsid w:val="009D781D"/>
    <w:rsid w:val="009D784A"/>
    <w:rsid w:val="009D7BBD"/>
    <w:rsid w:val="009E0952"/>
    <w:rsid w:val="009E0B78"/>
    <w:rsid w:val="009E218E"/>
    <w:rsid w:val="009E2D8C"/>
    <w:rsid w:val="009E3E12"/>
    <w:rsid w:val="009E4113"/>
    <w:rsid w:val="009E414B"/>
    <w:rsid w:val="009E4202"/>
    <w:rsid w:val="009E4360"/>
    <w:rsid w:val="009E472D"/>
    <w:rsid w:val="009E4ED7"/>
    <w:rsid w:val="009E571E"/>
    <w:rsid w:val="009E6A01"/>
    <w:rsid w:val="009E75D7"/>
    <w:rsid w:val="009E7C93"/>
    <w:rsid w:val="009E7CD6"/>
    <w:rsid w:val="009F03A4"/>
    <w:rsid w:val="009F06B9"/>
    <w:rsid w:val="009F0C34"/>
    <w:rsid w:val="009F0E32"/>
    <w:rsid w:val="009F1492"/>
    <w:rsid w:val="009F1522"/>
    <w:rsid w:val="009F2A30"/>
    <w:rsid w:val="009F2BBD"/>
    <w:rsid w:val="009F2EBB"/>
    <w:rsid w:val="009F3074"/>
    <w:rsid w:val="009F30E1"/>
    <w:rsid w:val="009F35BB"/>
    <w:rsid w:val="009F3DC0"/>
    <w:rsid w:val="009F3E24"/>
    <w:rsid w:val="009F4B8C"/>
    <w:rsid w:val="009F4C3E"/>
    <w:rsid w:val="009F54B5"/>
    <w:rsid w:val="009F58C7"/>
    <w:rsid w:val="009F72A6"/>
    <w:rsid w:val="009F7919"/>
    <w:rsid w:val="00A00EB5"/>
    <w:rsid w:val="00A010E4"/>
    <w:rsid w:val="00A014E1"/>
    <w:rsid w:val="00A02EF4"/>
    <w:rsid w:val="00A03261"/>
    <w:rsid w:val="00A03448"/>
    <w:rsid w:val="00A038B8"/>
    <w:rsid w:val="00A04933"/>
    <w:rsid w:val="00A06DBC"/>
    <w:rsid w:val="00A10639"/>
    <w:rsid w:val="00A10D1A"/>
    <w:rsid w:val="00A117CA"/>
    <w:rsid w:val="00A12692"/>
    <w:rsid w:val="00A12E5C"/>
    <w:rsid w:val="00A1331A"/>
    <w:rsid w:val="00A133DA"/>
    <w:rsid w:val="00A13C90"/>
    <w:rsid w:val="00A15594"/>
    <w:rsid w:val="00A15671"/>
    <w:rsid w:val="00A157E5"/>
    <w:rsid w:val="00A158B7"/>
    <w:rsid w:val="00A15EC3"/>
    <w:rsid w:val="00A15F1F"/>
    <w:rsid w:val="00A16B92"/>
    <w:rsid w:val="00A16FA7"/>
    <w:rsid w:val="00A1700A"/>
    <w:rsid w:val="00A17697"/>
    <w:rsid w:val="00A2020B"/>
    <w:rsid w:val="00A20497"/>
    <w:rsid w:val="00A205DD"/>
    <w:rsid w:val="00A2092B"/>
    <w:rsid w:val="00A20BE0"/>
    <w:rsid w:val="00A20C13"/>
    <w:rsid w:val="00A20F66"/>
    <w:rsid w:val="00A21149"/>
    <w:rsid w:val="00A21386"/>
    <w:rsid w:val="00A21AB1"/>
    <w:rsid w:val="00A21C4C"/>
    <w:rsid w:val="00A21DA7"/>
    <w:rsid w:val="00A2217B"/>
    <w:rsid w:val="00A22F2A"/>
    <w:rsid w:val="00A23785"/>
    <w:rsid w:val="00A237D8"/>
    <w:rsid w:val="00A242F1"/>
    <w:rsid w:val="00A242FA"/>
    <w:rsid w:val="00A24ABD"/>
    <w:rsid w:val="00A267F1"/>
    <w:rsid w:val="00A277C1"/>
    <w:rsid w:val="00A27BDB"/>
    <w:rsid w:val="00A27E08"/>
    <w:rsid w:val="00A31048"/>
    <w:rsid w:val="00A31636"/>
    <w:rsid w:val="00A316DC"/>
    <w:rsid w:val="00A31FD8"/>
    <w:rsid w:val="00A32089"/>
    <w:rsid w:val="00A3250A"/>
    <w:rsid w:val="00A3263F"/>
    <w:rsid w:val="00A3364E"/>
    <w:rsid w:val="00A33A93"/>
    <w:rsid w:val="00A34042"/>
    <w:rsid w:val="00A351D6"/>
    <w:rsid w:val="00A354EC"/>
    <w:rsid w:val="00A35F1B"/>
    <w:rsid w:val="00A36709"/>
    <w:rsid w:val="00A36845"/>
    <w:rsid w:val="00A36993"/>
    <w:rsid w:val="00A36B79"/>
    <w:rsid w:val="00A379E1"/>
    <w:rsid w:val="00A37C08"/>
    <w:rsid w:val="00A4038F"/>
    <w:rsid w:val="00A40B93"/>
    <w:rsid w:val="00A41121"/>
    <w:rsid w:val="00A411FF"/>
    <w:rsid w:val="00A4140A"/>
    <w:rsid w:val="00A41FAA"/>
    <w:rsid w:val="00A437B7"/>
    <w:rsid w:val="00A4391F"/>
    <w:rsid w:val="00A43D10"/>
    <w:rsid w:val="00A440DD"/>
    <w:rsid w:val="00A441B7"/>
    <w:rsid w:val="00A44BF3"/>
    <w:rsid w:val="00A45651"/>
    <w:rsid w:val="00A45DD6"/>
    <w:rsid w:val="00A45FA1"/>
    <w:rsid w:val="00A466F8"/>
    <w:rsid w:val="00A47872"/>
    <w:rsid w:val="00A50A86"/>
    <w:rsid w:val="00A50E40"/>
    <w:rsid w:val="00A51189"/>
    <w:rsid w:val="00A5131F"/>
    <w:rsid w:val="00A522EC"/>
    <w:rsid w:val="00A527CF"/>
    <w:rsid w:val="00A52BC2"/>
    <w:rsid w:val="00A52D44"/>
    <w:rsid w:val="00A52FAE"/>
    <w:rsid w:val="00A544B7"/>
    <w:rsid w:val="00A554CC"/>
    <w:rsid w:val="00A55DAD"/>
    <w:rsid w:val="00A56307"/>
    <w:rsid w:val="00A56885"/>
    <w:rsid w:val="00A56E26"/>
    <w:rsid w:val="00A5781F"/>
    <w:rsid w:val="00A57DCF"/>
    <w:rsid w:val="00A6098D"/>
    <w:rsid w:val="00A60B5B"/>
    <w:rsid w:val="00A60FB3"/>
    <w:rsid w:val="00A61167"/>
    <w:rsid w:val="00A61FB1"/>
    <w:rsid w:val="00A62220"/>
    <w:rsid w:val="00A622B0"/>
    <w:rsid w:val="00A62836"/>
    <w:rsid w:val="00A63896"/>
    <w:rsid w:val="00A642A2"/>
    <w:rsid w:val="00A64A08"/>
    <w:rsid w:val="00A64A83"/>
    <w:rsid w:val="00A658B3"/>
    <w:rsid w:val="00A6598C"/>
    <w:rsid w:val="00A66129"/>
    <w:rsid w:val="00A66679"/>
    <w:rsid w:val="00A66C8C"/>
    <w:rsid w:val="00A67A20"/>
    <w:rsid w:val="00A70975"/>
    <w:rsid w:val="00A709AF"/>
    <w:rsid w:val="00A711CE"/>
    <w:rsid w:val="00A71707"/>
    <w:rsid w:val="00A71B18"/>
    <w:rsid w:val="00A7290C"/>
    <w:rsid w:val="00A72F99"/>
    <w:rsid w:val="00A73B74"/>
    <w:rsid w:val="00A742D6"/>
    <w:rsid w:val="00A74450"/>
    <w:rsid w:val="00A74C89"/>
    <w:rsid w:val="00A74EA7"/>
    <w:rsid w:val="00A7638F"/>
    <w:rsid w:val="00A763E3"/>
    <w:rsid w:val="00A76EE6"/>
    <w:rsid w:val="00A76F78"/>
    <w:rsid w:val="00A77462"/>
    <w:rsid w:val="00A77E37"/>
    <w:rsid w:val="00A81006"/>
    <w:rsid w:val="00A81113"/>
    <w:rsid w:val="00A81629"/>
    <w:rsid w:val="00A82E67"/>
    <w:rsid w:val="00A8346F"/>
    <w:rsid w:val="00A83583"/>
    <w:rsid w:val="00A8358E"/>
    <w:rsid w:val="00A83A81"/>
    <w:rsid w:val="00A83FAE"/>
    <w:rsid w:val="00A84382"/>
    <w:rsid w:val="00A8496F"/>
    <w:rsid w:val="00A85662"/>
    <w:rsid w:val="00A85BD7"/>
    <w:rsid w:val="00A869FC"/>
    <w:rsid w:val="00A86A23"/>
    <w:rsid w:val="00A86B01"/>
    <w:rsid w:val="00A8749D"/>
    <w:rsid w:val="00A87BA6"/>
    <w:rsid w:val="00A87E75"/>
    <w:rsid w:val="00A90915"/>
    <w:rsid w:val="00A91DA6"/>
    <w:rsid w:val="00A92315"/>
    <w:rsid w:val="00A92D17"/>
    <w:rsid w:val="00A92FE0"/>
    <w:rsid w:val="00A930B8"/>
    <w:rsid w:val="00A93803"/>
    <w:rsid w:val="00A9477D"/>
    <w:rsid w:val="00A94C3B"/>
    <w:rsid w:val="00A952EB"/>
    <w:rsid w:val="00A95819"/>
    <w:rsid w:val="00A95966"/>
    <w:rsid w:val="00A95BA5"/>
    <w:rsid w:val="00A95CF3"/>
    <w:rsid w:val="00A95FF5"/>
    <w:rsid w:val="00A96BDB"/>
    <w:rsid w:val="00A9799E"/>
    <w:rsid w:val="00AA0177"/>
    <w:rsid w:val="00AA0410"/>
    <w:rsid w:val="00AA0DB3"/>
    <w:rsid w:val="00AA10C3"/>
    <w:rsid w:val="00AA10E9"/>
    <w:rsid w:val="00AA1994"/>
    <w:rsid w:val="00AA337A"/>
    <w:rsid w:val="00AA48D4"/>
    <w:rsid w:val="00AA5268"/>
    <w:rsid w:val="00AB0251"/>
    <w:rsid w:val="00AB050F"/>
    <w:rsid w:val="00AB0585"/>
    <w:rsid w:val="00AB06DC"/>
    <w:rsid w:val="00AB0BAB"/>
    <w:rsid w:val="00AB0C6C"/>
    <w:rsid w:val="00AB0C73"/>
    <w:rsid w:val="00AB0D5D"/>
    <w:rsid w:val="00AB2B50"/>
    <w:rsid w:val="00AB3464"/>
    <w:rsid w:val="00AB3814"/>
    <w:rsid w:val="00AB390A"/>
    <w:rsid w:val="00AB41EC"/>
    <w:rsid w:val="00AB42E1"/>
    <w:rsid w:val="00AB488B"/>
    <w:rsid w:val="00AB48B2"/>
    <w:rsid w:val="00AB5784"/>
    <w:rsid w:val="00AB6185"/>
    <w:rsid w:val="00AB6593"/>
    <w:rsid w:val="00AB6D2C"/>
    <w:rsid w:val="00AB6E06"/>
    <w:rsid w:val="00AB72A4"/>
    <w:rsid w:val="00AB75F6"/>
    <w:rsid w:val="00AB7606"/>
    <w:rsid w:val="00AB7EB7"/>
    <w:rsid w:val="00AC008B"/>
    <w:rsid w:val="00AC0867"/>
    <w:rsid w:val="00AC2033"/>
    <w:rsid w:val="00AC2879"/>
    <w:rsid w:val="00AC2C55"/>
    <w:rsid w:val="00AC3508"/>
    <w:rsid w:val="00AC3E7B"/>
    <w:rsid w:val="00AC4437"/>
    <w:rsid w:val="00AC5069"/>
    <w:rsid w:val="00AC51B2"/>
    <w:rsid w:val="00AC588D"/>
    <w:rsid w:val="00AC6628"/>
    <w:rsid w:val="00AC680E"/>
    <w:rsid w:val="00AC6C07"/>
    <w:rsid w:val="00AC71B7"/>
    <w:rsid w:val="00AC78AF"/>
    <w:rsid w:val="00AC7E7F"/>
    <w:rsid w:val="00AD000B"/>
    <w:rsid w:val="00AD09DD"/>
    <w:rsid w:val="00AD0A7D"/>
    <w:rsid w:val="00AD14E5"/>
    <w:rsid w:val="00AD161A"/>
    <w:rsid w:val="00AD1A23"/>
    <w:rsid w:val="00AD2AEA"/>
    <w:rsid w:val="00AD2EF9"/>
    <w:rsid w:val="00AD338C"/>
    <w:rsid w:val="00AD4423"/>
    <w:rsid w:val="00AD44D8"/>
    <w:rsid w:val="00AD4AB5"/>
    <w:rsid w:val="00AD4D6D"/>
    <w:rsid w:val="00AD4DD3"/>
    <w:rsid w:val="00AD52FF"/>
    <w:rsid w:val="00AD54AE"/>
    <w:rsid w:val="00AD5539"/>
    <w:rsid w:val="00AD5BAE"/>
    <w:rsid w:val="00AD6A4A"/>
    <w:rsid w:val="00AD6C3E"/>
    <w:rsid w:val="00AD6E6E"/>
    <w:rsid w:val="00AD704B"/>
    <w:rsid w:val="00AD7483"/>
    <w:rsid w:val="00AD7523"/>
    <w:rsid w:val="00AE04A6"/>
    <w:rsid w:val="00AE0973"/>
    <w:rsid w:val="00AE12D0"/>
    <w:rsid w:val="00AE1DE4"/>
    <w:rsid w:val="00AE3392"/>
    <w:rsid w:val="00AE37FB"/>
    <w:rsid w:val="00AE3FDF"/>
    <w:rsid w:val="00AE4692"/>
    <w:rsid w:val="00AE47C9"/>
    <w:rsid w:val="00AE55BA"/>
    <w:rsid w:val="00AE5A05"/>
    <w:rsid w:val="00AE629D"/>
    <w:rsid w:val="00AE70EB"/>
    <w:rsid w:val="00AE77B5"/>
    <w:rsid w:val="00AE7A1F"/>
    <w:rsid w:val="00AE7CD2"/>
    <w:rsid w:val="00AE7DBA"/>
    <w:rsid w:val="00AF018A"/>
    <w:rsid w:val="00AF0434"/>
    <w:rsid w:val="00AF15D7"/>
    <w:rsid w:val="00AF17DF"/>
    <w:rsid w:val="00AF1E47"/>
    <w:rsid w:val="00AF4068"/>
    <w:rsid w:val="00AF46B8"/>
    <w:rsid w:val="00AF5025"/>
    <w:rsid w:val="00AF57CC"/>
    <w:rsid w:val="00AF5D44"/>
    <w:rsid w:val="00AF6395"/>
    <w:rsid w:val="00AF63B6"/>
    <w:rsid w:val="00AF6CFC"/>
    <w:rsid w:val="00AF717B"/>
    <w:rsid w:val="00AF7431"/>
    <w:rsid w:val="00B008B0"/>
    <w:rsid w:val="00B00AD8"/>
    <w:rsid w:val="00B00B06"/>
    <w:rsid w:val="00B00EB3"/>
    <w:rsid w:val="00B0120B"/>
    <w:rsid w:val="00B012DD"/>
    <w:rsid w:val="00B01401"/>
    <w:rsid w:val="00B0239C"/>
    <w:rsid w:val="00B02939"/>
    <w:rsid w:val="00B03040"/>
    <w:rsid w:val="00B034DD"/>
    <w:rsid w:val="00B037C0"/>
    <w:rsid w:val="00B0393C"/>
    <w:rsid w:val="00B04DD5"/>
    <w:rsid w:val="00B05216"/>
    <w:rsid w:val="00B05323"/>
    <w:rsid w:val="00B0578C"/>
    <w:rsid w:val="00B05C02"/>
    <w:rsid w:val="00B062B0"/>
    <w:rsid w:val="00B064A5"/>
    <w:rsid w:val="00B06B1C"/>
    <w:rsid w:val="00B06D39"/>
    <w:rsid w:val="00B07CC2"/>
    <w:rsid w:val="00B10432"/>
    <w:rsid w:val="00B10AD3"/>
    <w:rsid w:val="00B10DA5"/>
    <w:rsid w:val="00B114BB"/>
    <w:rsid w:val="00B1186D"/>
    <w:rsid w:val="00B11946"/>
    <w:rsid w:val="00B11FFE"/>
    <w:rsid w:val="00B12BC0"/>
    <w:rsid w:val="00B12C70"/>
    <w:rsid w:val="00B12CBD"/>
    <w:rsid w:val="00B13D74"/>
    <w:rsid w:val="00B13E9B"/>
    <w:rsid w:val="00B144C8"/>
    <w:rsid w:val="00B14AEE"/>
    <w:rsid w:val="00B15427"/>
    <w:rsid w:val="00B159B0"/>
    <w:rsid w:val="00B16DBD"/>
    <w:rsid w:val="00B174DC"/>
    <w:rsid w:val="00B17A69"/>
    <w:rsid w:val="00B17CE2"/>
    <w:rsid w:val="00B2084E"/>
    <w:rsid w:val="00B22054"/>
    <w:rsid w:val="00B22310"/>
    <w:rsid w:val="00B23045"/>
    <w:rsid w:val="00B23325"/>
    <w:rsid w:val="00B23695"/>
    <w:rsid w:val="00B23B39"/>
    <w:rsid w:val="00B23E64"/>
    <w:rsid w:val="00B24C02"/>
    <w:rsid w:val="00B24E60"/>
    <w:rsid w:val="00B2559A"/>
    <w:rsid w:val="00B257E3"/>
    <w:rsid w:val="00B25D83"/>
    <w:rsid w:val="00B2641C"/>
    <w:rsid w:val="00B26992"/>
    <w:rsid w:val="00B2715D"/>
    <w:rsid w:val="00B27ED3"/>
    <w:rsid w:val="00B305B6"/>
    <w:rsid w:val="00B30763"/>
    <w:rsid w:val="00B30AFA"/>
    <w:rsid w:val="00B3220B"/>
    <w:rsid w:val="00B325B5"/>
    <w:rsid w:val="00B32A49"/>
    <w:rsid w:val="00B32C7D"/>
    <w:rsid w:val="00B32F93"/>
    <w:rsid w:val="00B33195"/>
    <w:rsid w:val="00B3343E"/>
    <w:rsid w:val="00B3357B"/>
    <w:rsid w:val="00B3380C"/>
    <w:rsid w:val="00B33820"/>
    <w:rsid w:val="00B340E1"/>
    <w:rsid w:val="00B349AF"/>
    <w:rsid w:val="00B35047"/>
    <w:rsid w:val="00B3592C"/>
    <w:rsid w:val="00B35D0A"/>
    <w:rsid w:val="00B36C9A"/>
    <w:rsid w:val="00B37547"/>
    <w:rsid w:val="00B3765B"/>
    <w:rsid w:val="00B37EA3"/>
    <w:rsid w:val="00B404AA"/>
    <w:rsid w:val="00B406BC"/>
    <w:rsid w:val="00B40E2C"/>
    <w:rsid w:val="00B40FF4"/>
    <w:rsid w:val="00B415F0"/>
    <w:rsid w:val="00B41D6E"/>
    <w:rsid w:val="00B423A4"/>
    <w:rsid w:val="00B425BC"/>
    <w:rsid w:val="00B4270B"/>
    <w:rsid w:val="00B42EEF"/>
    <w:rsid w:val="00B42F78"/>
    <w:rsid w:val="00B43D57"/>
    <w:rsid w:val="00B43DA2"/>
    <w:rsid w:val="00B44488"/>
    <w:rsid w:val="00B44EE2"/>
    <w:rsid w:val="00B4588E"/>
    <w:rsid w:val="00B460F4"/>
    <w:rsid w:val="00B46A68"/>
    <w:rsid w:val="00B477FC"/>
    <w:rsid w:val="00B47878"/>
    <w:rsid w:val="00B479C3"/>
    <w:rsid w:val="00B47E7B"/>
    <w:rsid w:val="00B47EFB"/>
    <w:rsid w:val="00B502A8"/>
    <w:rsid w:val="00B50725"/>
    <w:rsid w:val="00B50EB1"/>
    <w:rsid w:val="00B51FE0"/>
    <w:rsid w:val="00B522E8"/>
    <w:rsid w:val="00B52785"/>
    <w:rsid w:val="00B52E50"/>
    <w:rsid w:val="00B53EC1"/>
    <w:rsid w:val="00B546B0"/>
    <w:rsid w:val="00B54DE2"/>
    <w:rsid w:val="00B54ED9"/>
    <w:rsid w:val="00B555A1"/>
    <w:rsid w:val="00B56053"/>
    <w:rsid w:val="00B57A8B"/>
    <w:rsid w:val="00B6022A"/>
    <w:rsid w:val="00B60807"/>
    <w:rsid w:val="00B63485"/>
    <w:rsid w:val="00B641D1"/>
    <w:rsid w:val="00B64E88"/>
    <w:rsid w:val="00B65345"/>
    <w:rsid w:val="00B65A65"/>
    <w:rsid w:val="00B65F82"/>
    <w:rsid w:val="00B673CC"/>
    <w:rsid w:val="00B67AA2"/>
    <w:rsid w:val="00B70B96"/>
    <w:rsid w:val="00B70E02"/>
    <w:rsid w:val="00B70E81"/>
    <w:rsid w:val="00B7175B"/>
    <w:rsid w:val="00B71B64"/>
    <w:rsid w:val="00B72344"/>
    <w:rsid w:val="00B729BE"/>
    <w:rsid w:val="00B73360"/>
    <w:rsid w:val="00B74E6D"/>
    <w:rsid w:val="00B75F5C"/>
    <w:rsid w:val="00B7736C"/>
    <w:rsid w:val="00B77D3F"/>
    <w:rsid w:val="00B77DB9"/>
    <w:rsid w:val="00B80861"/>
    <w:rsid w:val="00B80953"/>
    <w:rsid w:val="00B80AF4"/>
    <w:rsid w:val="00B80B7E"/>
    <w:rsid w:val="00B82126"/>
    <w:rsid w:val="00B83ACD"/>
    <w:rsid w:val="00B84E1E"/>
    <w:rsid w:val="00B86AFA"/>
    <w:rsid w:val="00B87050"/>
    <w:rsid w:val="00B874DE"/>
    <w:rsid w:val="00B90776"/>
    <w:rsid w:val="00B90DA4"/>
    <w:rsid w:val="00B920D8"/>
    <w:rsid w:val="00B9288F"/>
    <w:rsid w:val="00B92B85"/>
    <w:rsid w:val="00B92C29"/>
    <w:rsid w:val="00B93B47"/>
    <w:rsid w:val="00B93C09"/>
    <w:rsid w:val="00B93E27"/>
    <w:rsid w:val="00B943D3"/>
    <w:rsid w:val="00B94AA2"/>
    <w:rsid w:val="00B94F27"/>
    <w:rsid w:val="00B953CE"/>
    <w:rsid w:val="00B956AB"/>
    <w:rsid w:val="00B95F87"/>
    <w:rsid w:val="00B96114"/>
    <w:rsid w:val="00B96609"/>
    <w:rsid w:val="00B96DF5"/>
    <w:rsid w:val="00B96F95"/>
    <w:rsid w:val="00B9719E"/>
    <w:rsid w:val="00B97382"/>
    <w:rsid w:val="00B975E4"/>
    <w:rsid w:val="00B97F84"/>
    <w:rsid w:val="00BA0207"/>
    <w:rsid w:val="00BA0CAD"/>
    <w:rsid w:val="00BA1039"/>
    <w:rsid w:val="00BA1292"/>
    <w:rsid w:val="00BA13BF"/>
    <w:rsid w:val="00BA18C7"/>
    <w:rsid w:val="00BA2C65"/>
    <w:rsid w:val="00BA2CEB"/>
    <w:rsid w:val="00BA3479"/>
    <w:rsid w:val="00BA3659"/>
    <w:rsid w:val="00BA4254"/>
    <w:rsid w:val="00BA436D"/>
    <w:rsid w:val="00BA4CC0"/>
    <w:rsid w:val="00BA52D7"/>
    <w:rsid w:val="00BA584C"/>
    <w:rsid w:val="00BA6DC2"/>
    <w:rsid w:val="00BA6E70"/>
    <w:rsid w:val="00BA70C8"/>
    <w:rsid w:val="00BA7107"/>
    <w:rsid w:val="00BA7572"/>
    <w:rsid w:val="00BA75A6"/>
    <w:rsid w:val="00BB03A8"/>
    <w:rsid w:val="00BB0E4F"/>
    <w:rsid w:val="00BB133B"/>
    <w:rsid w:val="00BB1B77"/>
    <w:rsid w:val="00BB25AD"/>
    <w:rsid w:val="00BB2B04"/>
    <w:rsid w:val="00BB2B93"/>
    <w:rsid w:val="00BB32D0"/>
    <w:rsid w:val="00BB3381"/>
    <w:rsid w:val="00BB3CD2"/>
    <w:rsid w:val="00BB3DBF"/>
    <w:rsid w:val="00BB422B"/>
    <w:rsid w:val="00BB4255"/>
    <w:rsid w:val="00BB5148"/>
    <w:rsid w:val="00BB5AA0"/>
    <w:rsid w:val="00BB6BA6"/>
    <w:rsid w:val="00BB71F3"/>
    <w:rsid w:val="00BB7E21"/>
    <w:rsid w:val="00BC16B9"/>
    <w:rsid w:val="00BC3625"/>
    <w:rsid w:val="00BC471F"/>
    <w:rsid w:val="00BC5D3B"/>
    <w:rsid w:val="00BC5E96"/>
    <w:rsid w:val="00BC5EC1"/>
    <w:rsid w:val="00BC5F91"/>
    <w:rsid w:val="00BC6BFA"/>
    <w:rsid w:val="00BC7753"/>
    <w:rsid w:val="00BC797C"/>
    <w:rsid w:val="00BD03BD"/>
    <w:rsid w:val="00BD0F0D"/>
    <w:rsid w:val="00BD11AD"/>
    <w:rsid w:val="00BD174E"/>
    <w:rsid w:val="00BD17B5"/>
    <w:rsid w:val="00BD1AD2"/>
    <w:rsid w:val="00BD2555"/>
    <w:rsid w:val="00BD26CC"/>
    <w:rsid w:val="00BD2925"/>
    <w:rsid w:val="00BD312E"/>
    <w:rsid w:val="00BD3BC9"/>
    <w:rsid w:val="00BD5136"/>
    <w:rsid w:val="00BD55C9"/>
    <w:rsid w:val="00BD5BEE"/>
    <w:rsid w:val="00BD681C"/>
    <w:rsid w:val="00BD714C"/>
    <w:rsid w:val="00BE10E1"/>
    <w:rsid w:val="00BE148D"/>
    <w:rsid w:val="00BE3432"/>
    <w:rsid w:val="00BE3444"/>
    <w:rsid w:val="00BE3778"/>
    <w:rsid w:val="00BE3837"/>
    <w:rsid w:val="00BE3DC0"/>
    <w:rsid w:val="00BE44BD"/>
    <w:rsid w:val="00BE4F5B"/>
    <w:rsid w:val="00BE5399"/>
    <w:rsid w:val="00BE547B"/>
    <w:rsid w:val="00BE6261"/>
    <w:rsid w:val="00BE63FE"/>
    <w:rsid w:val="00BE776F"/>
    <w:rsid w:val="00BF06D1"/>
    <w:rsid w:val="00BF0818"/>
    <w:rsid w:val="00BF098D"/>
    <w:rsid w:val="00BF152A"/>
    <w:rsid w:val="00BF21F8"/>
    <w:rsid w:val="00BF24AB"/>
    <w:rsid w:val="00BF3149"/>
    <w:rsid w:val="00BF3BF2"/>
    <w:rsid w:val="00BF4455"/>
    <w:rsid w:val="00BF489A"/>
    <w:rsid w:val="00BF54CD"/>
    <w:rsid w:val="00BF566C"/>
    <w:rsid w:val="00BF632D"/>
    <w:rsid w:val="00BF6D68"/>
    <w:rsid w:val="00BF70E0"/>
    <w:rsid w:val="00BF73EE"/>
    <w:rsid w:val="00BF7485"/>
    <w:rsid w:val="00BF7E62"/>
    <w:rsid w:val="00BF7EC1"/>
    <w:rsid w:val="00C000DF"/>
    <w:rsid w:val="00C0035F"/>
    <w:rsid w:val="00C00C42"/>
    <w:rsid w:val="00C01203"/>
    <w:rsid w:val="00C0125B"/>
    <w:rsid w:val="00C025A4"/>
    <w:rsid w:val="00C03C01"/>
    <w:rsid w:val="00C03C53"/>
    <w:rsid w:val="00C042D4"/>
    <w:rsid w:val="00C0588C"/>
    <w:rsid w:val="00C05A5A"/>
    <w:rsid w:val="00C05AD9"/>
    <w:rsid w:val="00C06188"/>
    <w:rsid w:val="00C07BF0"/>
    <w:rsid w:val="00C1015D"/>
    <w:rsid w:val="00C108C7"/>
    <w:rsid w:val="00C11339"/>
    <w:rsid w:val="00C11622"/>
    <w:rsid w:val="00C1197C"/>
    <w:rsid w:val="00C122C6"/>
    <w:rsid w:val="00C12653"/>
    <w:rsid w:val="00C128F5"/>
    <w:rsid w:val="00C13671"/>
    <w:rsid w:val="00C13856"/>
    <w:rsid w:val="00C1394A"/>
    <w:rsid w:val="00C13E12"/>
    <w:rsid w:val="00C13EE8"/>
    <w:rsid w:val="00C145FA"/>
    <w:rsid w:val="00C14BF1"/>
    <w:rsid w:val="00C1500D"/>
    <w:rsid w:val="00C150DE"/>
    <w:rsid w:val="00C15143"/>
    <w:rsid w:val="00C1586E"/>
    <w:rsid w:val="00C159D8"/>
    <w:rsid w:val="00C16A8B"/>
    <w:rsid w:val="00C16B4B"/>
    <w:rsid w:val="00C16D29"/>
    <w:rsid w:val="00C170BF"/>
    <w:rsid w:val="00C17C37"/>
    <w:rsid w:val="00C20624"/>
    <w:rsid w:val="00C2063E"/>
    <w:rsid w:val="00C20C00"/>
    <w:rsid w:val="00C21620"/>
    <w:rsid w:val="00C2175F"/>
    <w:rsid w:val="00C229F1"/>
    <w:rsid w:val="00C2355A"/>
    <w:rsid w:val="00C23BCA"/>
    <w:rsid w:val="00C23CFC"/>
    <w:rsid w:val="00C23FAC"/>
    <w:rsid w:val="00C24443"/>
    <w:rsid w:val="00C24B43"/>
    <w:rsid w:val="00C256D2"/>
    <w:rsid w:val="00C25D28"/>
    <w:rsid w:val="00C26596"/>
    <w:rsid w:val="00C267A2"/>
    <w:rsid w:val="00C26EE9"/>
    <w:rsid w:val="00C300FA"/>
    <w:rsid w:val="00C31451"/>
    <w:rsid w:val="00C31845"/>
    <w:rsid w:val="00C31D93"/>
    <w:rsid w:val="00C331B8"/>
    <w:rsid w:val="00C3321E"/>
    <w:rsid w:val="00C34304"/>
    <w:rsid w:val="00C347DA"/>
    <w:rsid w:val="00C34F6D"/>
    <w:rsid w:val="00C350BB"/>
    <w:rsid w:val="00C3514A"/>
    <w:rsid w:val="00C35556"/>
    <w:rsid w:val="00C35CF1"/>
    <w:rsid w:val="00C36022"/>
    <w:rsid w:val="00C3644B"/>
    <w:rsid w:val="00C364DD"/>
    <w:rsid w:val="00C368E3"/>
    <w:rsid w:val="00C37893"/>
    <w:rsid w:val="00C4048A"/>
    <w:rsid w:val="00C40766"/>
    <w:rsid w:val="00C4096C"/>
    <w:rsid w:val="00C40AF9"/>
    <w:rsid w:val="00C4161E"/>
    <w:rsid w:val="00C42416"/>
    <w:rsid w:val="00C42CFA"/>
    <w:rsid w:val="00C431D0"/>
    <w:rsid w:val="00C43432"/>
    <w:rsid w:val="00C439B9"/>
    <w:rsid w:val="00C43B0E"/>
    <w:rsid w:val="00C43CF9"/>
    <w:rsid w:val="00C44334"/>
    <w:rsid w:val="00C44400"/>
    <w:rsid w:val="00C4452A"/>
    <w:rsid w:val="00C44F38"/>
    <w:rsid w:val="00C4519D"/>
    <w:rsid w:val="00C457AC"/>
    <w:rsid w:val="00C462A3"/>
    <w:rsid w:val="00C46DC2"/>
    <w:rsid w:val="00C475E5"/>
    <w:rsid w:val="00C4776D"/>
    <w:rsid w:val="00C47935"/>
    <w:rsid w:val="00C47E70"/>
    <w:rsid w:val="00C50049"/>
    <w:rsid w:val="00C502BD"/>
    <w:rsid w:val="00C506FE"/>
    <w:rsid w:val="00C5330B"/>
    <w:rsid w:val="00C534FF"/>
    <w:rsid w:val="00C538A8"/>
    <w:rsid w:val="00C539F5"/>
    <w:rsid w:val="00C53E49"/>
    <w:rsid w:val="00C543AD"/>
    <w:rsid w:val="00C54D4D"/>
    <w:rsid w:val="00C54EB7"/>
    <w:rsid w:val="00C55079"/>
    <w:rsid w:val="00C55D28"/>
    <w:rsid w:val="00C55D68"/>
    <w:rsid w:val="00C56135"/>
    <w:rsid w:val="00C579EC"/>
    <w:rsid w:val="00C57A0A"/>
    <w:rsid w:val="00C60014"/>
    <w:rsid w:val="00C6004B"/>
    <w:rsid w:val="00C608F6"/>
    <w:rsid w:val="00C61299"/>
    <w:rsid w:val="00C61BBC"/>
    <w:rsid w:val="00C628E2"/>
    <w:rsid w:val="00C62B9D"/>
    <w:rsid w:val="00C63F2D"/>
    <w:rsid w:val="00C641CE"/>
    <w:rsid w:val="00C652BA"/>
    <w:rsid w:val="00C65E50"/>
    <w:rsid w:val="00C6637E"/>
    <w:rsid w:val="00C6647C"/>
    <w:rsid w:val="00C66BF3"/>
    <w:rsid w:val="00C704E7"/>
    <w:rsid w:val="00C723AB"/>
    <w:rsid w:val="00C723C3"/>
    <w:rsid w:val="00C72530"/>
    <w:rsid w:val="00C725D1"/>
    <w:rsid w:val="00C7355B"/>
    <w:rsid w:val="00C735C5"/>
    <w:rsid w:val="00C74FE0"/>
    <w:rsid w:val="00C76068"/>
    <w:rsid w:val="00C76315"/>
    <w:rsid w:val="00C76DD6"/>
    <w:rsid w:val="00C7730E"/>
    <w:rsid w:val="00C77E35"/>
    <w:rsid w:val="00C813CC"/>
    <w:rsid w:val="00C814AF"/>
    <w:rsid w:val="00C81A52"/>
    <w:rsid w:val="00C82452"/>
    <w:rsid w:val="00C82F26"/>
    <w:rsid w:val="00C8324C"/>
    <w:rsid w:val="00C83732"/>
    <w:rsid w:val="00C837BB"/>
    <w:rsid w:val="00C83D55"/>
    <w:rsid w:val="00C8483D"/>
    <w:rsid w:val="00C84F1C"/>
    <w:rsid w:val="00C85988"/>
    <w:rsid w:val="00C87036"/>
    <w:rsid w:val="00C87269"/>
    <w:rsid w:val="00C874A4"/>
    <w:rsid w:val="00C87D18"/>
    <w:rsid w:val="00C90591"/>
    <w:rsid w:val="00C90BB8"/>
    <w:rsid w:val="00C916BE"/>
    <w:rsid w:val="00C917D2"/>
    <w:rsid w:val="00C921FE"/>
    <w:rsid w:val="00C92F92"/>
    <w:rsid w:val="00C93167"/>
    <w:rsid w:val="00C939B6"/>
    <w:rsid w:val="00C9539C"/>
    <w:rsid w:val="00C95E0A"/>
    <w:rsid w:val="00C968A6"/>
    <w:rsid w:val="00C968D0"/>
    <w:rsid w:val="00C96C2B"/>
    <w:rsid w:val="00C97337"/>
    <w:rsid w:val="00CA0EAC"/>
    <w:rsid w:val="00CA1698"/>
    <w:rsid w:val="00CA18F8"/>
    <w:rsid w:val="00CA2C2D"/>
    <w:rsid w:val="00CA2D0C"/>
    <w:rsid w:val="00CA37CC"/>
    <w:rsid w:val="00CA384C"/>
    <w:rsid w:val="00CA39A4"/>
    <w:rsid w:val="00CA39F8"/>
    <w:rsid w:val="00CA3C17"/>
    <w:rsid w:val="00CA4443"/>
    <w:rsid w:val="00CA5A7D"/>
    <w:rsid w:val="00CA5D60"/>
    <w:rsid w:val="00CA659C"/>
    <w:rsid w:val="00CA65A8"/>
    <w:rsid w:val="00CA6C6C"/>
    <w:rsid w:val="00CA6D09"/>
    <w:rsid w:val="00CA6FC5"/>
    <w:rsid w:val="00CA75B0"/>
    <w:rsid w:val="00CA75F8"/>
    <w:rsid w:val="00CA7713"/>
    <w:rsid w:val="00CA7F2F"/>
    <w:rsid w:val="00CB06AD"/>
    <w:rsid w:val="00CB0D1F"/>
    <w:rsid w:val="00CB396A"/>
    <w:rsid w:val="00CB44A8"/>
    <w:rsid w:val="00CB46F3"/>
    <w:rsid w:val="00CB4842"/>
    <w:rsid w:val="00CB4D9A"/>
    <w:rsid w:val="00CB527B"/>
    <w:rsid w:val="00CB61E3"/>
    <w:rsid w:val="00CB6428"/>
    <w:rsid w:val="00CB6CCA"/>
    <w:rsid w:val="00CB6D89"/>
    <w:rsid w:val="00CB7291"/>
    <w:rsid w:val="00CB73C8"/>
    <w:rsid w:val="00CC0284"/>
    <w:rsid w:val="00CC03A8"/>
    <w:rsid w:val="00CC0600"/>
    <w:rsid w:val="00CC1295"/>
    <w:rsid w:val="00CC16B4"/>
    <w:rsid w:val="00CC1E13"/>
    <w:rsid w:val="00CC272D"/>
    <w:rsid w:val="00CC282F"/>
    <w:rsid w:val="00CC29E0"/>
    <w:rsid w:val="00CC3FEF"/>
    <w:rsid w:val="00CC408F"/>
    <w:rsid w:val="00CC44FE"/>
    <w:rsid w:val="00CC5BDD"/>
    <w:rsid w:val="00CC77E1"/>
    <w:rsid w:val="00CC7937"/>
    <w:rsid w:val="00CD01FD"/>
    <w:rsid w:val="00CD03AE"/>
    <w:rsid w:val="00CD071C"/>
    <w:rsid w:val="00CD1281"/>
    <w:rsid w:val="00CD183E"/>
    <w:rsid w:val="00CD19E8"/>
    <w:rsid w:val="00CD226B"/>
    <w:rsid w:val="00CD23BD"/>
    <w:rsid w:val="00CD46F5"/>
    <w:rsid w:val="00CD525C"/>
    <w:rsid w:val="00CD5373"/>
    <w:rsid w:val="00CD539B"/>
    <w:rsid w:val="00CD6100"/>
    <w:rsid w:val="00CD6BA0"/>
    <w:rsid w:val="00CD71CF"/>
    <w:rsid w:val="00CD7680"/>
    <w:rsid w:val="00CD79AD"/>
    <w:rsid w:val="00CE048F"/>
    <w:rsid w:val="00CE0603"/>
    <w:rsid w:val="00CE1096"/>
    <w:rsid w:val="00CE114E"/>
    <w:rsid w:val="00CE1478"/>
    <w:rsid w:val="00CE1875"/>
    <w:rsid w:val="00CE211B"/>
    <w:rsid w:val="00CE2543"/>
    <w:rsid w:val="00CE3187"/>
    <w:rsid w:val="00CE3399"/>
    <w:rsid w:val="00CE3953"/>
    <w:rsid w:val="00CE3985"/>
    <w:rsid w:val="00CE4321"/>
    <w:rsid w:val="00CE4559"/>
    <w:rsid w:val="00CE48C0"/>
    <w:rsid w:val="00CE4FB5"/>
    <w:rsid w:val="00CE5430"/>
    <w:rsid w:val="00CE56BA"/>
    <w:rsid w:val="00CE5C2D"/>
    <w:rsid w:val="00CE5DB2"/>
    <w:rsid w:val="00CE6166"/>
    <w:rsid w:val="00CE742F"/>
    <w:rsid w:val="00CF0A4A"/>
    <w:rsid w:val="00CF0BC5"/>
    <w:rsid w:val="00CF0DEF"/>
    <w:rsid w:val="00CF1371"/>
    <w:rsid w:val="00CF18E1"/>
    <w:rsid w:val="00CF29F1"/>
    <w:rsid w:val="00CF2A10"/>
    <w:rsid w:val="00CF3682"/>
    <w:rsid w:val="00CF37CF"/>
    <w:rsid w:val="00CF4BFC"/>
    <w:rsid w:val="00CF50F2"/>
    <w:rsid w:val="00CF589F"/>
    <w:rsid w:val="00CF634F"/>
    <w:rsid w:val="00CF6777"/>
    <w:rsid w:val="00CF7222"/>
    <w:rsid w:val="00D00C8C"/>
    <w:rsid w:val="00D00ED3"/>
    <w:rsid w:val="00D038DB"/>
    <w:rsid w:val="00D03C9A"/>
    <w:rsid w:val="00D03D19"/>
    <w:rsid w:val="00D05D78"/>
    <w:rsid w:val="00D061E4"/>
    <w:rsid w:val="00D062F7"/>
    <w:rsid w:val="00D07041"/>
    <w:rsid w:val="00D07413"/>
    <w:rsid w:val="00D0745F"/>
    <w:rsid w:val="00D07AFE"/>
    <w:rsid w:val="00D07E4A"/>
    <w:rsid w:val="00D100CE"/>
    <w:rsid w:val="00D1080A"/>
    <w:rsid w:val="00D10816"/>
    <w:rsid w:val="00D10D0C"/>
    <w:rsid w:val="00D10E4C"/>
    <w:rsid w:val="00D111A1"/>
    <w:rsid w:val="00D120C6"/>
    <w:rsid w:val="00D12223"/>
    <w:rsid w:val="00D124B6"/>
    <w:rsid w:val="00D12945"/>
    <w:rsid w:val="00D129B9"/>
    <w:rsid w:val="00D132E1"/>
    <w:rsid w:val="00D13B00"/>
    <w:rsid w:val="00D13B71"/>
    <w:rsid w:val="00D13BBD"/>
    <w:rsid w:val="00D13F3D"/>
    <w:rsid w:val="00D1475A"/>
    <w:rsid w:val="00D14C24"/>
    <w:rsid w:val="00D14CF3"/>
    <w:rsid w:val="00D15300"/>
    <w:rsid w:val="00D15E87"/>
    <w:rsid w:val="00D1669B"/>
    <w:rsid w:val="00D16CA8"/>
    <w:rsid w:val="00D170AA"/>
    <w:rsid w:val="00D20124"/>
    <w:rsid w:val="00D2052E"/>
    <w:rsid w:val="00D20965"/>
    <w:rsid w:val="00D20A60"/>
    <w:rsid w:val="00D20B22"/>
    <w:rsid w:val="00D2233B"/>
    <w:rsid w:val="00D2282B"/>
    <w:rsid w:val="00D232B8"/>
    <w:rsid w:val="00D232C1"/>
    <w:rsid w:val="00D23DA5"/>
    <w:rsid w:val="00D24B6D"/>
    <w:rsid w:val="00D253BC"/>
    <w:rsid w:val="00D25538"/>
    <w:rsid w:val="00D255BC"/>
    <w:rsid w:val="00D25CEA"/>
    <w:rsid w:val="00D2625A"/>
    <w:rsid w:val="00D263EF"/>
    <w:rsid w:val="00D26A27"/>
    <w:rsid w:val="00D26CF5"/>
    <w:rsid w:val="00D277F3"/>
    <w:rsid w:val="00D278E1"/>
    <w:rsid w:val="00D30284"/>
    <w:rsid w:val="00D30D27"/>
    <w:rsid w:val="00D3124E"/>
    <w:rsid w:val="00D315BC"/>
    <w:rsid w:val="00D316C0"/>
    <w:rsid w:val="00D32AF6"/>
    <w:rsid w:val="00D3339E"/>
    <w:rsid w:val="00D336DF"/>
    <w:rsid w:val="00D33B87"/>
    <w:rsid w:val="00D34682"/>
    <w:rsid w:val="00D349E2"/>
    <w:rsid w:val="00D34F4A"/>
    <w:rsid w:val="00D41365"/>
    <w:rsid w:val="00D4179D"/>
    <w:rsid w:val="00D42FA4"/>
    <w:rsid w:val="00D431A3"/>
    <w:rsid w:val="00D43C1B"/>
    <w:rsid w:val="00D449F3"/>
    <w:rsid w:val="00D44B4D"/>
    <w:rsid w:val="00D44E17"/>
    <w:rsid w:val="00D45790"/>
    <w:rsid w:val="00D46986"/>
    <w:rsid w:val="00D4742E"/>
    <w:rsid w:val="00D477B2"/>
    <w:rsid w:val="00D513BC"/>
    <w:rsid w:val="00D5167F"/>
    <w:rsid w:val="00D52034"/>
    <w:rsid w:val="00D5264D"/>
    <w:rsid w:val="00D5294A"/>
    <w:rsid w:val="00D529E5"/>
    <w:rsid w:val="00D52B1A"/>
    <w:rsid w:val="00D53235"/>
    <w:rsid w:val="00D542F9"/>
    <w:rsid w:val="00D54363"/>
    <w:rsid w:val="00D55263"/>
    <w:rsid w:val="00D55539"/>
    <w:rsid w:val="00D55606"/>
    <w:rsid w:val="00D55C3A"/>
    <w:rsid w:val="00D56893"/>
    <w:rsid w:val="00D56CDA"/>
    <w:rsid w:val="00D570A7"/>
    <w:rsid w:val="00D57459"/>
    <w:rsid w:val="00D574D9"/>
    <w:rsid w:val="00D604D0"/>
    <w:rsid w:val="00D608B5"/>
    <w:rsid w:val="00D61021"/>
    <w:rsid w:val="00D61408"/>
    <w:rsid w:val="00D616B8"/>
    <w:rsid w:val="00D61CC2"/>
    <w:rsid w:val="00D6215D"/>
    <w:rsid w:val="00D6280A"/>
    <w:rsid w:val="00D62A1E"/>
    <w:rsid w:val="00D62D91"/>
    <w:rsid w:val="00D6312C"/>
    <w:rsid w:val="00D65026"/>
    <w:rsid w:val="00D655A7"/>
    <w:rsid w:val="00D672A1"/>
    <w:rsid w:val="00D67D55"/>
    <w:rsid w:val="00D67D92"/>
    <w:rsid w:val="00D67F52"/>
    <w:rsid w:val="00D70222"/>
    <w:rsid w:val="00D7057E"/>
    <w:rsid w:val="00D7085F"/>
    <w:rsid w:val="00D70D9F"/>
    <w:rsid w:val="00D71055"/>
    <w:rsid w:val="00D718D9"/>
    <w:rsid w:val="00D71E95"/>
    <w:rsid w:val="00D725FE"/>
    <w:rsid w:val="00D72708"/>
    <w:rsid w:val="00D72CD7"/>
    <w:rsid w:val="00D736E5"/>
    <w:rsid w:val="00D73DBF"/>
    <w:rsid w:val="00D74FAC"/>
    <w:rsid w:val="00D7641D"/>
    <w:rsid w:val="00D76779"/>
    <w:rsid w:val="00D77256"/>
    <w:rsid w:val="00D777BF"/>
    <w:rsid w:val="00D77BDA"/>
    <w:rsid w:val="00D8036E"/>
    <w:rsid w:val="00D8047A"/>
    <w:rsid w:val="00D8052E"/>
    <w:rsid w:val="00D81AB8"/>
    <w:rsid w:val="00D81F5A"/>
    <w:rsid w:val="00D82EFC"/>
    <w:rsid w:val="00D835D7"/>
    <w:rsid w:val="00D83E6E"/>
    <w:rsid w:val="00D83E74"/>
    <w:rsid w:val="00D844E5"/>
    <w:rsid w:val="00D84A79"/>
    <w:rsid w:val="00D8589E"/>
    <w:rsid w:val="00D85AD0"/>
    <w:rsid w:val="00D86476"/>
    <w:rsid w:val="00D86EE7"/>
    <w:rsid w:val="00D87498"/>
    <w:rsid w:val="00D87D3B"/>
    <w:rsid w:val="00D90A44"/>
    <w:rsid w:val="00D916BB"/>
    <w:rsid w:val="00D92F82"/>
    <w:rsid w:val="00D936D4"/>
    <w:rsid w:val="00D9441E"/>
    <w:rsid w:val="00D95967"/>
    <w:rsid w:val="00D9661A"/>
    <w:rsid w:val="00D96AC4"/>
    <w:rsid w:val="00D96C10"/>
    <w:rsid w:val="00D9701C"/>
    <w:rsid w:val="00DA0D6D"/>
    <w:rsid w:val="00DA0E26"/>
    <w:rsid w:val="00DA10AF"/>
    <w:rsid w:val="00DA14CA"/>
    <w:rsid w:val="00DA3541"/>
    <w:rsid w:val="00DA3669"/>
    <w:rsid w:val="00DA6B6F"/>
    <w:rsid w:val="00DA6BF2"/>
    <w:rsid w:val="00DA6C1A"/>
    <w:rsid w:val="00DA73AD"/>
    <w:rsid w:val="00DA794A"/>
    <w:rsid w:val="00DB000F"/>
    <w:rsid w:val="00DB111A"/>
    <w:rsid w:val="00DB3D32"/>
    <w:rsid w:val="00DB447F"/>
    <w:rsid w:val="00DB49C6"/>
    <w:rsid w:val="00DB4E8C"/>
    <w:rsid w:val="00DB5150"/>
    <w:rsid w:val="00DB588A"/>
    <w:rsid w:val="00DB59DA"/>
    <w:rsid w:val="00DB5E74"/>
    <w:rsid w:val="00DB5F97"/>
    <w:rsid w:val="00DB6714"/>
    <w:rsid w:val="00DB6A8A"/>
    <w:rsid w:val="00DB77C3"/>
    <w:rsid w:val="00DB7A11"/>
    <w:rsid w:val="00DB7FCE"/>
    <w:rsid w:val="00DC0617"/>
    <w:rsid w:val="00DC0938"/>
    <w:rsid w:val="00DC0B3F"/>
    <w:rsid w:val="00DC0CE8"/>
    <w:rsid w:val="00DC0F0B"/>
    <w:rsid w:val="00DC216C"/>
    <w:rsid w:val="00DC2BFC"/>
    <w:rsid w:val="00DC307D"/>
    <w:rsid w:val="00DC339B"/>
    <w:rsid w:val="00DC417B"/>
    <w:rsid w:val="00DC51CA"/>
    <w:rsid w:val="00DC53CF"/>
    <w:rsid w:val="00DC5590"/>
    <w:rsid w:val="00DC5B9F"/>
    <w:rsid w:val="00DC5F46"/>
    <w:rsid w:val="00DC60A1"/>
    <w:rsid w:val="00DC67AF"/>
    <w:rsid w:val="00DC6825"/>
    <w:rsid w:val="00DC6C20"/>
    <w:rsid w:val="00DC71B3"/>
    <w:rsid w:val="00DC7EBD"/>
    <w:rsid w:val="00DD035F"/>
    <w:rsid w:val="00DD059A"/>
    <w:rsid w:val="00DD0E4A"/>
    <w:rsid w:val="00DD0F03"/>
    <w:rsid w:val="00DD1B0B"/>
    <w:rsid w:val="00DD2C5C"/>
    <w:rsid w:val="00DD307B"/>
    <w:rsid w:val="00DD38FC"/>
    <w:rsid w:val="00DD3902"/>
    <w:rsid w:val="00DD527F"/>
    <w:rsid w:val="00DD552B"/>
    <w:rsid w:val="00DD592D"/>
    <w:rsid w:val="00DD6375"/>
    <w:rsid w:val="00DD64C0"/>
    <w:rsid w:val="00DD6E93"/>
    <w:rsid w:val="00DD751D"/>
    <w:rsid w:val="00DD7830"/>
    <w:rsid w:val="00DD7D9B"/>
    <w:rsid w:val="00DE0A27"/>
    <w:rsid w:val="00DE1422"/>
    <w:rsid w:val="00DE1812"/>
    <w:rsid w:val="00DE22C3"/>
    <w:rsid w:val="00DE2497"/>
    <w:rsid w:val="00DE2A51"/>
    <w:rsid w:val="00DE3C40"/>
    <w:rsid w:val="00DE4264"/>
    <w:rsid w:val="00DE42EF"/>
    <w:rsid w:val="00DE4A9F"/>
    <w:rsid w:val="00DE4DDD"/>
    <w:rsid w:val="00DE511D"/>
    <w:rsid w:val="00DE5766"/>
    <w:rsid w:val="00DE5C99"/>
    <w:rsid w:val="00DE5FB5"/>
    <w:rsid w:val="00DE6254"/>
    <w:rsid w:val="00DE6D7B"/>
    <w:rsid w:val="00DE6F4F"/>
    <w:rsid w:val="00DE6F6E"/>
    <w:rsid w:val="00DF1B9E"/>
    <w:rsid w:val="00DF22A8"/>
    <w:rsid w:val="00DF2F3D"/>
    <w:rsid w:val="00DF3569"/>
    <w:rsid w:val="00DF3793"/>
    <w:rsid w:val="00DF4731"/>
    <w:rsid w:val="00DF477C"/>
    <w:rsid w:val="00DF553C"/>
    <w:rsid w:val="00DF5C54"/>
    <w:rsid w:val="00DF70DB"/>
    <w:rsid w:val="00DF7A44"/>
    <w:rsid w:val="00E00B79"/>
    <w:rsid w:val="00E01EC8"/>
    <w:rsid w:val="00E02725"/>
    <w:rsid w:val="00E02E5D"/>
    <w:rsid w:val="00E0365B"/>
    <w:rsid w:val="00E038D1"/>
    <w:rsid w:val="00E04027"/>
    <w:rsid w:val="00E04F39"/>
    <w:rsid w:val="00E05181"/>
    <w:rsid w:val="00E05184"/>
    <w:rsid w:val="00E0618F"/>
    <w:rsid w:val="00E0686A"/>
    <w:rsid w:val="00E07D5D"/>
    <w:rsid w:val="00E10AB2"/>
    <w:rsid w:val="00E10FBC"/>
    <w:rsid w:val="00E11847"/>
    <w:rsid w:val="00E11B4C"/>
    <w:rsid w:val="00E130F9"/>
    <w:rsid w:val="00E13C88"/>
    <w:rsid w:val="00E13E23"/>
    <w:rsid w:val="00E13ECD"/>
    <w:rsid w:val="00E14B47"/>
    <w:rsid w:val="00E152EB"/>
    <w:rsid w:val="00E16C6D"/>
    <w:rsid w:val="00E16F3D"/>
    <w:rsid w:val="00E17270"/>
    <w:rsid w:val="00E1731F"/>
    <w:rsid w:val="00E17998"/>
    <w:rsid w:val="00E17EDB"/>
    <w:rsid w:val="00E206F9"/>
    <w:rsid w:val="00E22CA7"/>
    <w:rsid w:val="00E233FD"/>
    <w:rsid w:val="00E25329"/>
    <w:rsid w:val="00E25577"/>
    <w:rsid w:val="00E25770"/>
    <w:rsid w:val="00E258E7"/>
    <w:rsid w:val="00E25D66"/>
    <w:rsid w:val="00E2620E"/>
    <w:rsid w:val="00E3010C"/>
    <w:rsid w:val="00E309B9"/>
    <w:rsid w:val="00E309EB"/>
    <w:rsid w:val="00E30A08"/>
    <w:rsid w:val="00E30A1B"/>
    <w:rsid w:val="00E3123F"/>
    <w:rsid w:val="00E31B38"/>
    <w:rsid w:val="00E31B4E"/>
    <w:rsid w:val="00E32791"/>
    <w:rsid w:val="00E32A0E"/>
    <w:rsid w:val="00E334A4"/>
    <w:rsid w:val="00E337DE"/>
    <w:rsid w:val="00E3400D"/>
    <w:rsid w:val="00E3475D"/>
    <w:rsid w:val="00E34DA7"/>
    <w:rsid w:val="00E35186"/>
    <w:rsid w:val="00E356B4"/>
    <w:rsid w:val="00E401E1"/>
    <w:rsid w:val="00E406D7"/>
    <w:rsid w:val="00E418CF"/>
    <w:rsid w:val="00E42722"/>
    <w:rsid w:val="00E42A43"/>
    <w:rsid w:val="00E42A8D"/>
    <w:rsid w:val="00E4343B"/>
    <w:rsid w:val="00E439A2"/>
    <w:rsid w:val="00E44352"/>
    <w:rsid w:val="00E44744"/>
    <w:rsid w:val="00E44752"/>
    <w:rsid w:val="00E448B7"/>
    <w:rsid w:val="00E44B42"/>
    <w:rsid w:val="00E460C8"/>
    <w:rsid w:val="00E46219"/>
    <w:rsid w:val="00E46AAB"/>
    <w:rsid w:val="00E46B06"/>
    <w:rsid w:val="00E46EAF"/>
    <w:rsid w:val="00E46EFB"/>
    <w:rsid w:val="00E47FF8"/>
    <w:rsid w:val="00E5170E"/>
    <w:rsid w:val="00E5269B"/>
    <w:rsid w:val="00E52950"/>
    <w:rsid w:val="00E52EF3"/>
    <w:rsid w:val="00E53789"/>
    <w:rsid w:val="00E53BC6"/>
    <w:rsid w:val="00E53C38"/>
    <w:rsid w:val="00E53D72"/>
    <w:rsid w:val="00E55023"/>
    <w:rsid w:val="00E55B8F"/>
    <w:rsid w:val="00E56388"/>
    <w:rsid w:val="00E564C8"/>
    <w:rsid w:val="00E56637"/>
    <w:rsid w:val="00E56F2D"/>
    <w:rsid w:val="00E57320"/>
    <w:rsid w:val="00E576DB"/>
    <w:rsid w:val="00E57B1B"/>
    <w:rsid w:val="00E57B65"/>
    <w:rsid w:val="00E603E8"/>
    <w:rsid w:val="00E60468"/>
    <w:rsid w:val="00E620E1"/>
    <w:rsid w:val="00E63D19"/>
    <w:rsid w:val="00E64427"/>
    <w:rsid w:val="00E6540C"/>
    <w:rsid w:val="00E65499"/>
    <w:rsid w:val="00E65962"/>
    <w:rsid w:val="00E660D2"/>
    <w:rsid w:val="00E664A6"/>
    <w:rsid w:val="00E67470"/>
    <w:rsid w:val="00E67874"/>
    <w:rsid w:val="00E67E45"/>
    <w:rsid w:val="00E7088C"/>
    <w:rsid w:val="00E7161A"/>
    <w:rsid w:val="00E71A01"/>
    <w:rsid w:val="00E71C82"/>
    <w:rsid w:val="00E71FA4"/>
    <w:rsid w:val="00E72AC5"/>
    <w:rsid w:val="00E73001"/>
    <w:rsid w:val="00E73487"/>
    <w:rsid w:val="00E73ED0"/>
    <w:rsid w:val="00E751A4"/>
    <w:rsid w:val="00E752C3"/>
    <w:rsid w:val="00E75622"/>
    <w:rsid w:val="00E7591B"/>
    <w:rsid w:val="00E766B7"/>
    <w:rsid w:val="00E76959"/>
    <w:rsid w:val="00E76CBC"/>
    <w:rsid w:val="00E76F12"/>
    <w:rsid w:val="00E808D7"/>
    <w:rsid w:val="00E8187B"/>
    <w:rsid w:val="00E8191C"/>
    <w:rsid w:val="00E81B66"/>
    <w:rsid w:val="00E8215E"/>
    <w:rsid w:val="00E823EC"/>
    <w:rsid w:val="00E826A2"/>
    <w:rsid w:val="00E82F3F"/>
    <w:rsid w:val="00E832D0"/>
    <w:rsid w:val="00E83772"/>
    <w:rsid w:val="00E8383F"/>
    <w:rsid w:val="00E844D6"/>
    <w:rsid w:val="00E84C55"/>
    <w:rsid w:val="00E851C7"/>
    <w:rsid w:val="00E8522E"/>
    <w:rsid w:val="00E85CFA"/>
    <w:rsid w:val="00E86E16"/>
    <w:rsid w:val="00E87061"/>
    <w:rsid w:val="00E87866"/>
    <w:rsid w:val="00E87D4D"/>
    <w:rsid w:val="00E9065B"/>
    <w:rsid w:val="00E907DC"/>
    <w:rsid w:val="00E90962"/>
    <w:rsid w:val="00E9141A"/>
    <w:rsid w:val="00E9184B"/>
    <w:rsid w:val="00E91B84"/>
    <w:rsid w:val="00E92BD2"/>
    <w:rsid w:val="00E92C88"/>
    <w:rsid w:val="00E946AD"/>
    <w:rsid w:val="00E958BC"/>
    <w:rsid w:val="00E969FB"/>
    <w:rsid w:val="00EA0A5E"/>
    <w:rsid w:val="00EA0E95"/>
    <w:rsid w:val="00EA1309"/>
    <w:rsid w:val="00EA153D"/>
    <w:rsid w:val="00EA186E"/>
    <w:rsid w:val="00EA1BFD"/>
    <w:rsid w:val="00EA213B"/>
    <w:rsid w:val="00EA350D"/>
    <w:rsid w:val="00EA4597"/>
    <w:rsid w:val="00EA4A91"/>
    <w:rsid w:val="00EA4D61"/>
    <w:rsid w:val="00EA5190"/>
    <w:rsid w:val="00EA57CE"/>
    <w:rsid w:val="00EA5F81"/>
    <w:rsid w:val="00EA7A82"/>
    <w:rsid w:val="00EB0307"/>
    <w:rsid w:val="00EB0491"/>
    <w:rsid w:val="00EB1246"/>
    <w:rsid w:val="00EB1485"/>
    <w:rsid w:val="00EB2349"/>
    <w:rsid w:val="00EB281D"/>
    <w:rsid w:val="00EB2B0C"/>
    <w:rsid w:val="00EB367D"/>
    <w:rsid w:val="00EB3B09"/>
    <w:rsid w:val="00EB43EB"/>
    <w:rsid w:val="00EB52AC"/>
    <w:rsid w:val="00EB53E2"/>
    <w:rsid w:val="00EB5BDB"/>
    <w:rsid w:val="00EB60DE"/>
    <w:rsid w:val="00EB6194"/>
    <w:rsid w:val="00EB623C"/>
    <w:rsid w:val="00EB6F06"/>
    <w:rsid w:val="00EB7068"/>
    <w:rsid w:val="00EB732F"/>
    <w:rsid w:val="00EB7A3C"/>
    <w:rsid w:val="00EB7B5A"/>
    <w:rsid w:val="00EC05EB"/>
    <w:rsid w:val="00EC1CFE"/>
    <w:rsid w:val="00EC21F3"/>
    <w:rsid w:val="00EC2420"/>
    <w:rsid w:val="00EC3BDB"/>
    <w:rsid w:val="00EC3E1A"/>
    <w:rsid w:val="00EC481D"/>
    <w:rsid w:val="00EC4865"/>
    <w:rsid w:val="00EC4DCD"/>
    <w:rsid w:val="00EC517E"/>
    <w:rsid w:val="00EC563A"/>
    <w:rsid w:val="00EC5958"/>
    <w:rsid w:val="00EC5A4D"/>
    <w:rsid w:val="00EC5B0D"/>
    <w:rsid w:val="00EC5FA7"/>
    <w:rsid w:val="00EC64EB"/>
    <w:rsid w:val="00EC684C"/>
    <w:rsid w:val="00EC69C2"/>
    <w:rsid w:val="00EC7269"/>
    <w:rsid w:val="00EC7868"/>
    <w:rsid w:val="00EC7EB8"/>
    <w:rsid w:val="00ED02CA"/>
    <w:rsid w:val="00ED0EB6"/>
    <w:rsid w:val="00ED1C5C"/>
    <w:rsid w:val="00ED224D"/>
    <w:rsid w:val="00ED3114"/>
    <w:rsid w:val="00ED3AD7"/>
    <w:rsid w:val="00ED3CAC"/>
    <w:rsid w:val="00ED4280"/>
    <w:rsid w:val="00ED45EF"/>
    <w:rsid w:val="00ED66D0"/>
    <w:rsid w:val="00ED6913"/>
    <w:rsid w:val="00ED73D8"/>
    <w:rsid w:val="00ED76CE"/>
    <w:rsid w:val="00ED776F"/>
    <w:rsid w:val="00EE073C"/>
    <w:rsid w:val="00EE08B1"/>
    <w:rsid w:val="00EE1024"/>
    <w:rsid w:val="00EE21E8"/>
    <w:rsid w:val="00EE2950"/>
    <w:rsid w:val="00EE2FB5"/>
    <w:rsid w:val="00EE3246"/>
    <w:rsid w:val="00EE4BC8"/>
    <w:rsid w:val="00EE53B0"/>
    <w:rsid w:val="00EE5DBF"/>
    <w:rsid w:val="00EE70B0"/>
    <w:rsid w:val="00EE71C3"/>
    <w:rsid w:val="00EE7314"/>
    <w:rsid w:val="00EE7417"/>
    <w:rsid w:val="00EE7913"/>
    <w:rsid w:val="00EF00C6"/>
    <w:rsid w:val="00EF129A"/>
    <w:rsid w:val="00EF1572"/>
    <w:rsid w:val="00EF2735"/>
    <w:rsid w:val="00EF35A6"/>
    <w:rsid w:val="00EF3C39"/>
    <w:rsid w:val="00EF410D"/>
    <w:rsid w:val="00EF4291"/>
    <w:rsid w:val="00EF4BD1"/>
    <w:rsid w:val="00EF4CE8"/>
    <w:rsid w:val="00EF6425"/>
    <w:rsid w:val="00EF6AB2"/>
    <w:rsid w:val="00EF6EE9"/>
    <w:rsid w:val="00EF7D24"/>
    <w:rsid w:val="00EF7D5A"/>
    <w:rsid w:val="00EF7EE7"/>
    <w:rsid w:val="00F00765"/>
    <w:rsid w:val="00F00B4C"/>
    <w:rsid w:val="00F015D6"/>
    <w:rsid w:val="00F01912"/>
    <w:rsid w:val="00F01DCA"/>
    <w:rsid w:val="00F02107"/>
    <w:rsid w:val="00F022F5"/>
    <w:rsid w:val="00F0279A"/>
    <w:rsid w:val="00F034A1"/>
    <w:rsid w:val="00F03D1E"/>
    <w:rsid w:val="00F04A15"/>
    <w:rsid w:val="00F04E1F"/>
    <w:rsid w:val="00F05314"/>
    <w:rsid w:val="00F053CB"/>
    <w:rsid w:val="00F054BB"/>
    <w:rsid w:val="00F059A3"/>
    <w:rsid w:val="00F05AEB"/>
    <w:rsid w:val="00F05D63"/>
    <w:rsid w:val="00F068D5"/>
    <w:rsid w:val="00F071A7"/>
    <w:rsid w:val="00F078BA"/>
    <w:rsid w:val="00F10139"/>
    <w:rsid w:val="00F10727"/>
    <w:rsid w:val="00F11CB8"/>
    <w:rsid w:val="00F11F4F"/>
    <w:rsid w:val="00F12651"/>
    <w:rsid w:val="00F13277"/>
    <w:rsid w:val="00F14467"/>
    <w:rsid w:val="00F1450C"/>
    <w:rsid w:val="00F1589A"/>
    <w:rsid w:val="00F159E6"/>
    <w:rsid w:val="00F15DA0"/>
    <w:rsid w:val="00F16714"/>
    <w:rsid w:val="00F16770"/>
    <w:rsid w:val="00F168F0"/>
    <w:rsid w:val="00F169CE"/>
    <w:rsid w:val="00F177A6"/>
    <w:rsid w:val="00F17939"/>
    <w:rsid w:val="00F207E2"/>
    <w:rsid w:val="00F209CE"/>
    <w:rsid w:val="00F212E8"/>
    <w:rsid w:val="00F2220B"/>
    <w:rsid w:val="00F222B3"/>
    <w:rsid w:val="00F239B2"/>
    <w:rsid w:val="00F23E49"/>
    <w:rsid w:val="00F23EBF"/>
    <w:rsid w:val="00F23F70"/>
    <w:rsid w:val="00F23F89"/>
    <w:rsid w:val="00F24039"/>
    <w:rsid w:val="00F242DA"/>
    <w:rsid w:val="00F2588D"/>
    <w:rsid w:val="00F2652F"/>
    <w:rsid w:val="00F27D7B"/>
    <w:rsid w:val="00F3072E"/>
    <w:rsid w:val="00F310A4"/>
    <w:rsid w:val="00F310C1"/>
    <w:rsid w:val="00F31688"/>
    <w:rsid w:val="00F32209"/>
    <w:rsid w:val="00F3283A"/>
    <w:rsid w:val="00F32B75"/>
    <w:rsid w:val="00F33F06"/>
    <w:rsid w:val="00F34953"/>
    <w:rsid w:val="00F367DB"/>
    <w:rsid w:val="00F367EB"/>
    <w:rsid w:val="00F36BE6"/>
    <w:rsid w:val="00F40664"/>
    <w:rsid w:val="00F408AC"/>
    <w:rsid w:val="00F424AD"/>
    <w:rsid w:val="00F4289C"/>
    <w:rsid w:val="00F42B12"/>
    <w:rsid w:val="00F43C15"/>
    <w:rsid w:val="00F44649"/>
    <w:rsid w:val="00F447DC"/>
    <w:rsid w:val="00F45012"/>
    <w:rsid w:val="00F4594F"/>
    <w:rsid w:val="00F45C73"/>
    <w:rsid w:val="00F4692E"/>
    <w:rsid w:val="00F46BEC"/>
    <w:rsid w:val="00F4704D"/>
    <w:rsid w:val="00F47380"/>
    <w:rsid w:val="00F478BC"/>
    <w:rsid w:val="00F47C63"/>
    <w:rsid w:val="00F503A1"/>
    <w:rsid w:val="00F507A0"/>
    <w:rsid w:val="00F50B0C"/>
    <w:rsid w:val="00F5249D"/>
    <w:rsid w:val="00F524DC"/>
    <w:rsid w:val="00F530A5"/>
    <w:rsid w:val="00F53CDA"/>
    <w:rsid w:val="00F54D9B"/>
    <w:rsid w:val="00F554E5"/>
    <w:rsid w:val="00F555D0"/>
    <w:rsid w:val="00F55707"/>
    <w:rsid w:val="00F57880"/>
    <w:rsid w:val="00F60D18"/>
    <w:rsid w:val="00F62255"/>
    <w:rsid w:val="00F62C44"/>
    <w:rsid w:val="00F63264"/>
    <w:rsid w:val="00F6370F"/>
    <w:rsid w:val="00F647DC"/>
    <w:rsid w:val="00F64999"/>
    <w:rsid w:val="00F64C60"/>
    <w:rsid w:val="00F64CB6"/>
    <w:rsid w:val="00F652F7"/>
    <w:rsid w:val="00F65B3A"/>
    <w:rsid w:val="00F661AD"/>
    <w:rsid w:val="00F66F64"/>
    <w:rsid w:val="00F67F1B"/>
    <w:rsid w:val="00F70624"/>
    <w:rsid w:val="00F7096C"/>
    <w:rsid w:val="00F70CF4"/>
    <w:rsid w:val="00F70F7E"/>
    <w:rsid w:val="00F71122"/>
    <w:rsid w:val="00F712EA"/>
    <w:rsid w:val="00F71396"/>
    <w:rsid w:val="00F718A8"/>
    <w:rsid w:val="00F72E2E"/>
    <w:rsid w:val="00F73192"/>
    <w:rsid w:val="00F742F1"/>
    <w:rsid w:val="00F743C9"/>
    <w:rsid w:val="00F76CB6"/>
    <w:rsid w:val="00F77FD1"/>
    <w:rsid w:val="00F8067A"/>
    <w:rsid w:val="00F81F9C"/>
    <w:rsid w:val="00F81FDE"/>
    <w:rsid w:val="00F81FF1"/>
    <w:rsid w:val="00F824B6"/>
    <w:rsid w:val="00F82720"/>
    <w:rsid w:val="00F82799"/>
    <w:rsid w:val="00F83061"/>
    <w:rsid w:val="00F83B6A"/>
    <w:rsid w:val="00F840D1"/>
    <w:rsid w:val="00F859D3"/>
    <w:rsid w:val="00F85B3C"/>
    <w:rsid w:val="00F86324"/>
    <w:rsid w:val="00F86497"/>
    <w:rsid w:val="00F865B3"/>
    <w:rsid w:val="00F9033F"/>
    <w:rsid w:val="00F904B4"/>
    <w:rsid w:val="00F90D2D"/>
    <w:rsid w:val="00F9215E"/>
    <w:rsid w:val="00F9290F"/>
    <w:rsid w:val="00F92BC2"/>
    <w:rsid w:val="00F930F2"/>
    <w:rsid w:val="00F93342"/>
    <w:rsid w:val="00F9346A"/>
    <w:rsid w:val="00F938CA"/>
    <w:rsid w:val="00F938E2"/>
    <w:rsid w:val="00F93A76"/>
    <w:rsid w:val="00F93DA8"/>
    <w:rsid w:val="00F93E2B"/>
    <w:rsid w:val="00F94994"/>
    <w:rsid w:val="00F94E9B"/>
    <w:rsid w:val="00F9522D"/>
    <w:rsid w:val="00F95789"/>
    <w:rsid w:val="00F95DCD"/>
    <w:rsid w:val="00F95F59"/>
    <w:rsid w:val="00F9611D"/>
    <w:rsid w:val="00F969CD"/>
    <w:rsid w:val="00F96BBC"/>
    <w:rsid w:val="00F97371"/>
    <w:rsid w:val="00F97443"/>
    <w:rsid w:val="00F97903"/>
    <w:rsid w:val="00F97CA4"/>
    <w:rsid w:val="00F97E6D"/>
    <w:rsid w:val="00FA0132"/>
    <w:rsid w:val="00FA1534"/>
    <w:rsid w:val="00FA18B3"/>
    <w:rsid w:val="00FA1A77"/>
    <w:rsid w:val="00FA1C35"/>
    <w:rsid w:val="00FA2A03"/>
    <w:rsid w:val="00FA5406"/>
    <w:rsid w:val="00FA540B"/>
    <w:rsid w:val="00FA54FC"/>
    <w:rsid w:val="00FA5511"/>
    <w:rsid w:val="00FB0163"/>
    <w:rsid w:val="00FB0666"/>
    <w:rsid w:val="00FB0D4C"/>
    <w:rsid w:val="00FB1151"/>
    <w:rsid w:val="00FB15E3"/>
    <w:rsid w:val="00FB1EB5"/>
    <w:rsid w:val="00FB2AA8"/>
    <w:rsid w:val="00FB31C8"/>
    <w:rsid w:val="00FB3920"/>
    <w:rsid w:val="00FB44A4"/>
    <w:rsid w:val="00FB4678"/>
    <w:rsid w:val="00FB49B4"/>
    <w:rsid w:val="00FB4BB9"/>
    <w:rsid w:val="00FB4CA8"/>
    <w:rsid w:val="00FB5B87"/>
    <w:rsid w:val="00FB5C62"/>
    <w:rsid w:val="00FB6A13"/>
    <w:rsid w:val="00FB72F2"/>
    <w:rsid w:val="00FB734C"/>
    <w:rsid w:val="00FB7529"/>
    <w:rsid w:val="00FB7C37"/>
    <w:rsid w:val="00FC018E"/>
    <w:rsid w:val="00FC072A"/>
    <w:rsid w:val="00FC083E"/>
    <w:rsid w:val="00FC19EC"/>
    <w:rsid w:val="00FC202C"/>
    <w:rsid w:val="00FC2235"/>
    <w:rsid w:val="00FC38BE"/>
    <w:rsid w:val="00FC5495"/>
    <w:rsid w:val="00FC65F8"/>
    <w:rsid w:val="00FC6E09"/>
    <w:rsid w:val="00FC7F00"/>
    <w:rsid w:val="00FC7F33"/>
    <w:rsid w:val="00FD10B4"/>
    <w:rsid w:val="00FD10CD"/>
    <w:rsid w:val="00FD1215"/>
    <w:rsid w:val="00FD197B"/>
    <w:rsid w:val="00FD29CE"/>
    <w:rsid w:val="00FD31A2"/>
    <w:rsid w:val="00FD37B7"/>
    <w:rsid w:val="00FD3A1F"/>
    <w:rsid w:val="00FD4F04"/>
    <w:rsid w:val="00FD4FC0"/>
    <w:rsid w:val="00FD50E5"/>
    <w:rsid w:val="00FD51AB"/>
    <w:rsid w:val="00FD53DE"/>
    <w:rsid w:val="00FD7F45"/>
    <w:rsid w:val="00FE1D75"/>
    <w:rsid w:val="00FE2052"/>
    <w:rsid w:val="00FE30A5"/>
    <w:rsid w:val="00FE3DBD"/>
    <w:rsid w:val="00FE3DDC"/>
    <w:rsid w:val="00FE3FC2"/>
    <w:rsid w:val="00FE4701"/>
    <w:rsid w:val="00FE6C32"/>
    <w:rsid w:val="00FE71C2"/>
    <w:rsid w:val="00FE7C3B"/>
    <w:rsid w:val="00FF045A"/>
    <w:rsid w:val="00FF04D7"/>
    <w:rsid w:val="00FF0B91"/>
    <w:rsid w:val="00FF0F3C"/>
    <w:rsid w:val="00FF165A"/>
    <w:rsid w:val="00FF1B47"/>
    <w:rsid w:val="00FF1F5F"/>
    <w:rsid w:val="00FF250D"/>
    <w:rsid w:val="00FF270E"/>
    <w:rsid w:val="00FF3B61"/>
    <w:rsid w:val="00FF50AF"/>
    <w:rsid w:val="00FF53A5"/>
    <w:rsid w:val="00FF5EF3"/>
    <w:rsid w:val="00FF640A"/>
    <w:rsid w:val="00FF7285"/>
    <w:rsid w:val="00FF7728"/>
    <w:rsid w:val="00FF78F5"/>
    <w:rsid w:val="014D3A97"/>
    <w:rsid w:val="014F047E"/>
    <w:rsid w:val="021D617C"/>
    <w:rsid w:val="03B44AC3"/>
    <w:rsid w:val="04704FE8"/>
    <w:rsid w:val="05D94A50"/>
    <w:rsid w:val="06260D05"/>
    <w:rsid w:val="06FD2087"/>
    <w:rsid w:val="098F60A0"/>
    <w:rsid w:val="0A7B5B4B"/>
    <w:rsid w:val="0AAD55DA"/>
    <w:rsid w:val="0B554EF3"/>
    <w:rsid w:val="0BD258D6"/>
    <w:rsid w:val="0BF808E6"/>
    <w:rsid w:val="0C640367"/>
    <w:rsid w:val="0C9447D9"/>
    <w:rsid w:val="0CCA3A75"/>
    <w:rsid w:val="0D0D2D84"/>
    <w:rsid w:val="0D2A712F"/>
    <w:rsid w:val="0D524AA1"/>
    <w:rsid w:val="0DB01A65"/>
    <w:rsid w:val="0FFF4D8C"/>
    <w:rsid w:val="105A33E8"/>
    <w:rsid w:val="1078041E"/>
    <w:rsid w:val="11356AD1"/>
    <w:rsid w:val="117C7D69"/>
    <w:rsid w:val="12385F75"/>
    <w:rsid w:val="13434ED6"/>
    <w:rsid w:val="13753650"/>
    <w:rsid w:val="13F023BA"/>
    <w:rsid w:val="143C2ABF"/>
    <w:rsid w:val="14585955"/>
    <w:rsid w:val="14BD1359"/>
    <w:rsid w:val="14E87508"/>
    <w:rsid w:val="14F317FE"/>
    <w:rsid w:val="156223FE"/>
    <w:rsid w:val="15DF7103"/>
    <w:rsid w:val="15FA604B"/>
    <w:rsid w:val="16A95D04"/>
    <w:rsid w:val="17E5608A"/>
    <w:rsid w:val="18067876"/>
    <w:rsid w:val="18164902"/>
    <w:rsid w:val="182C4D0E"/>
    <w:rsid w:val="197052F6"/>
    <w:rsid w:val="1972137A"/>
    <w:rsid w:val="19815E58"/>
    <w:rsid w:val="19A74F22"/>
    <w:rsid w:val="1B0758C7"/>
    <w:rsid w:val="1B483D1B"/>
    <w:rsid w:val="1BCE21E8"/>
    <w:rsid w:val="1C3B55CF"/>
    <w:rsid w:val="1C8507D7"/>
    <w:rsid w:val="1CF00D91"/>
    <w:rsid w:val="1D196D9A"/>
    <w:rsid w:val="1D9E0F77"/>
    <w:rsid w:val="1E225760"/>
    <w:rsid w:val="1F822453"/>
    <w:rsid w:val="1FE34114"/>
    <w:rsid w:val="20182CA2"/>
    <w:rsid w:val="201E7421"/>
    <w:rsid w:val="20B11AA4"/>
    <w:rsid w:val="21AE13C0"/>
    <w:rsid w:val="22995E04"/>
    <w:rsid w:val="22C30B1E"/>
    <w:rsid w:val="232938CE"/>
    <w:rsid w:val="23D660F1"/>
    <w:rsid w:val="24417E51"/>
    <w:rsid w:val="24803D66"/>
    <w:rsid w:val="275D2DDD"/>
    <w:rsid w:val="281F3792"/>
    <w:rsid w:val="282C79B8"/>
    <w:rsid w:val="28326B68"/>
    <w:rsid w:val="28551770"/>
    <w:rsid w:val="28BC1271"/>
    <w:rsid w:val="29056421"/>
    <w:rsid w:val="29DF390B"/>
    <w:rsid w:val="2A0071E0"/>
    <w:rsid w:val="2A284422"/>
    <w:rsid w:val="2B3B1C9A"/>
    <w:rsid w:val="2B5B4EA3"/>
    <w:rsid w:val="2C054586"/>
    <w:rsid w:val="2C203268"/>
    <w:rsid w:val="2C5A69A8"/>
    <w:rsid w:val="2C890059"/>
    <w:rsid w:val="2CD1372C"/>
    <w:rsid w:val="2D31342B"/>
    <w:rsid w:val="2DB04987"/>
    <w:rsid w:val="2DD2551A"/>
    <w:rsid w:val="2E0475ED"/>
    <w:rsid w:val="2E8C4694"/>
    <w:rsid w:val="2E9E6B78"/>
    <w:rsid w:val="2F1D499C"/>
    <w:rsid w:val="2F2152AF"/>
    <w:rsid w:val="2F4A78FF"/>
    <w:rsid w:val="30AF6DD1"/>
    <w:rsid w:val="30CA7652"/>
    <w:rsid w:val="31655CF0"/>
    <w:rsid w:val="33767241"/>
    <w:rsid w:val="33F44EDB"/>
    <w:rsid w:val="343F48D4"/>
    <w:rsid w:val="34D12F2F"/>
    <w:rsid w:val="34F642E7"/>
    <w:rsid w:val="354301D6"/>
    <w:rsid w:val="3594397E"/>
    <w:rsid w:val="35AB7A68"/>
    <w:rsid w:val="361F6219"/>
    <w:rsid w:val="36303DE8"/>
    <w:rsid w:val="38632046"/>
    <w:rsid w:val="38924DAE"/>
    <w:rsid w:val="38A1135C"/>
    <w:rsid w:val="39C027B9"/>
    <w:rsid w:val="39D83F01"/>
    <w:rsid w:val="3A817BB4"/>
    <w:rsid w:val="3B9B6F5A"/>
    <w:rsid w:val="3CC76FA1"/>
    <w:rsid w:val="3CFB3B38"/>
    <w:rsid w:val="3DD575C8"/>
    <w:rsid w:val="3DEB6BB2"/>
    <w:rsid w:val="3DFF191D"/>
    <w:rsid w:val="3E481B1A"/>
    <w:rsid w:val="3E8A6055"/>
    <w:rsid w:val="3EAE23E0"/>
    <w:rsid w:val="3F7801A9"/>
    <w:rsid w:val="40133A2F"/>
    <w:rsid w:val="405B7BD1"/>
    <w:rsid w:val="40CF0643"/>
    <w:rsid w:val="40F50E02"/>
    <w:rsid w:val="41626C25"/>
    <w:rsid w:val="416B1401"/>
    <w:rsid w:val="42016D29"/>
    <w:rsid w:val="42042685"/>
    <w:rsid w:val="426E620C"/>
    <w:rsid w:val="43181CE9"/>
    <w:rsid w:val="43C95E89"/>
    <w:rsid w:val="441D632C"/>
    <w:rsid w:val="44624466"/>
    <w:rsid w:val="44CB07A7"/>
    <w:rsid w:val="44DB3176"/>
    <w:rsid w:val="45DC3C57"/>
    <w:rsid w:val="45F42BF0"/>
    <w:rsid w:val="46295BF0"/>
    <w:rsid w:val="469B611D"/>
    <w:rsid w:val="46E350CC"/>
    <w:rsid w:val="46F67750"/>
    <w:rsid w:val="478F478A"/>
    <w:rsid w:val="47B61A7C"/>
    <w:rsid w:val="47D83067"/>
    <w:rsid w:val="47E20074"/>
    <w:rsid w:val="482E4A55"/>
    <w:rsid w:val="4844602A"/>
    <w:rsid w:val="48F937E2"/>
    <w:rsid w:val="49423B63"/>
    <w:rsid w:val="49D442EB"/>
    <w:rsid w:val="49EE5940"/>
    <w:rsid w:val="4AA90FED"/>
    <w:rsid w:val="4B592037"/>
    <w:rsid w:val="4B6F6B27"/>
    <w:rsid w:val="4C0615A7"/>
    <w:rsid w:val="4C10240F"/>
    <w:rsid w:val="4C5E62E1"/>
    <w:rsid w:val="4C7A2EDF"/>
    <w:rsid w:val="4D3579BB"/>
    <w:rsid w:val="4D46193C"/>
    <w:rsid w:val="4DDC74CF"/>
    <w:rsid w:val="4E0D7037"/>
    <w:rsid w:val="4E535D22"/>
    <w:rsid w:val="4EC91CDB"/>
    <w:rsid w:val="4EF16309"/>
    <w:rsid w:val="4F697A48"/>
    <w:rsid w:val="504E7A1B"/>
    <w:rsid w:val="5088236B"/>
    <w:rsid w:val="50A42905"/>
    <w:rsid w:val="50A548E4"/>
    <w:rsid w:val="50A60363"/>
    <w:rsid w:val="50DD69A7"/>
    <w:rsid w:val="513B37E3"/>
    <w:rsid w:val="51BB0BE8"/>
    <w:rsid w:val="520D732C"/>
    <w:rsid w:val="53BB785D"/>
    <w:rsid w:val="53C81DFC"/>
    <w:rsid w:val="54373BBE"/>
    <w:rsid w:val="545D68F0"/>
    <w:rsid w:val="5493232F"/>
    <w:rsid w:val="54C2473E"/>
    <w:rsid w:val="56014043"/>
    <w:rsid w:val="56214CFC"/>
    <w:rsid w:val="56603DDE"/>
    <w:rsid w:val="56787172"/>
    <w:rsid w:val="56F713BB"/>
    <w:rsid w:val="579918DD"/>
    <w:rsid w:val="57C14DF7"/>
    <w:rsid w:val="57EC0F16"/>
    <w:rsid w:val="587D7BF5"/>
    <w:rsid w:val="58C96766"/>
    <w:rsid w:val="59892636"/>
    <w:rsid w:val="5A267516"/>
    <w:rsid w:val="5A3C2B92"/>
    <w:rsid w:val="5A6D0267"/>
    <w:rsid w:val="5A7653E1"/>
    <w:rsid w:val="5AD017BE"/>
    <w:rsid w:val="5BA91699"/>
    <w:rsid w:val="5BEC5BA2"/>
    <w:rsid w:val="5C0E6551"/>
    <w:rsid w:val="5C115E22"/>
    <w:rsid w:val="5CA95B16"/>
    <w:rsid w:val="5CED15A1"/>
    <w:rsid w:val="5D555DEB"/>
    <w:rsid w:val="5D972A08"/>
    <w:rsid w:val="5E6D7DC8"/>
    <w:rsid w:val="5EF57C53"/>
    <w:rsid w:val="5F154A0C"/>
    <w:rsid w:val="5F5D7939"/>
    <w:rsid w:val="5F684883"/>
    <w:rsid w:val="5FC26E6E"/>
    <w:rsid w:val="5FE01D11"/>
    <w:rsid w:val="615A4766"/>
    <w:rsid w:val="61B63BA2"/>
    <w:rsid w:val="62356ACD"/>
    <w:rsid w:val="62D21C2B"/>
    <w:rsid w:val="64367D5D"/>
    <w:rsid w:val="64915C2A"/>
    <w:rsid w:val="652A2E88"/>
    <w:rsid w:val="65953CD2"/>
    <w:rsid w:val="65C45475"/>
    <w:rsid w:val="65E76209"/>
    <w:rsid w:val="67BE4C94"/>
    <w:rsid w:val="69152C9E"/>
    <w:rsid w:val="691F3305"/>
    <w:rsid w:val="69EC7755"/>
    <w:rsid w:val="6A1A2A45"/>
    <w:rsid w:val="6A686C3C"/>
    <w:rsid w:val="6AA42093"/>
    <w:rsid w:val="6AFC03A0"/>
    <w:rsid w:val="6B706500"/>
    <w:rsid w:val="6B7B5F04"/>
    <w:rsid w:val="6C3C4B7C"/>
    <w:rsid w:val="6C85304B"/>
    <w:rsid w:val="6D04792B"/>
    <w:rsid w:val="6D092A64"/>
    <w:rsid w:val="6E682061"/>
    <w:rsid w:val="6EAC4A21"/>
    <w:rsid w:val="6F4D507D"/>
    <w:rsid w:val="6F640AF8"/>
    <w:rsid w:val="71090414"/>
    <w:rsid w:val="714867BF"/>
    <w:rsid w:val="71886628"/>
    <w:rsid w:val="727264D3"/>
    <w:rsid w:val="73EB01C8"/>
    <w:rsid w:val="745F399E"/>
    <w:rsid w:val="753041BC"/>
    <w:rsid w:val="760778EF"/>
    <w:rsid w:val="766549F5"/>
    <w:rsid w:val="77574854"/>
    <w:rsid w:val="7793777A"/>
    <w:rsid w:val="77F42192"/>
    <w:rsid w:val="791372BA"/>
    <w:rsid w:val="7A1B7543"/>
    <w:rsid w:val="7A520C5D"/>
    <w:rsid w:val="7A5729E8"/>
    <w:rsid w:val="7B60636F"/>
    <w:rsid w:val="7BF737C3"/>
    <w:rsid w:val="7C2E10A4"/>
    <w:rsid w:val="7C544256"/>
    <w:rsid w:val="7C6372F3"/>
    <w:rsid w:val="7C7C424C"/>
    <w:rsid w:val="7CA83931"/>
    <w:rsid w:val="7D534A79"/>
    <w:rsid w:val="7F412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3"/>
    <w:qFormat/>
    <w:uiPriority w:val="0"/>
    <w:pPr>
      <w:keepNext/>
      <w:numPr>
        <w:ilvl w:val="0"/>
        <w:numId w:val="1"/>
      </w:numPr>
      <w:autoSpaceDE w:val="0"/>
      <w:autoSpaceDN w:val="0"/>
      <w:adjustRightInd w:val="0"/>
      <w:jc w:val="left"/>
      <w:outlineLvl w:val="0"/>
    </w:pPr>
    <w:rPr>
      <w:rFonts w:ascii="仿宋_GB2312" w:eastAsia="仿宋_GB2312"/>
      <w:b/>
      <w:bCs/>
      <w:color w:val="000000"/>
      <w:kern w:val="0"/>
      <w:sz w:val="28"/>
      <w:szCs w:val="20"/>
    </w:rPr>
  </w:style>
  <w:style w:type="paragraph" w:styleId="4">
    <w:name w:val="heading 2"/>
    <w:basedOn w:val="1"/>
    <w:next w:val="1"/>
    <w:link w:val="101"/>
    <w:qFormat/>
    <w:uiPriority w:val="0"/>
    <w:pPr>
      <w:keepNext/>
      <w:keepLines/>
      <w:numPr>
        <w:ilvl w:val="1"/>
        <w:numId w:val="1"/>
      </w:numPr>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numPr>
        <w:ilvl w:val="2"/>
        <w:numId w:val="1"/>
      </w:numPr>
      <w:spacing w:before="120" w:after="120" w:line="360" w:lineRule="auto"/>
      <w:jc w:val="center"/>
      <w:outlineLvl w:val="2"/>
    </w:pPr>
    <w:rPr>
      <w:rFonts w:ascii="宋体"/>
      <w:b/>
      <w:bCs/>
      <w:sz w:val="24"/>
      <w:szCs w:val="32"/>
    </w:rPr>
  </w:style>
  <w:style w:type="paragraph" w:styleId="6">
    <w:name w:val="heading 4"/>
    <w:basedOn w:val="1"/>
    <w:next w:val="1"/>
    <w:link w:val="11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qFormat/>
    <w:uiPriority w:val="0"/>
    <w:pPr>
      <w:keepNext/>
      <w:keepLines/>
      <w:numPr>
        <w:ilvl w:val="4"/>
        <w:numId w:val="2"/>
      </w:numPr>
      <w:adjustRightInd w:val="0"/>
      <w:spacing w:before="280" w:after="290" w:line="376" w:lineRule="atLeast"/>
      <w:textAlignment w:val="baseline"/>
      <w:outlineLvl w:val="4"/>
    </w:pPr>
    <w:rPr>
      <w:b/>
      <w:kern w:val="0"/>
      <w:sz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Normal Indent"/>
    <w:basedOn w:val="1"/>
    <w:link w:val="105"/>
    <w:qFormat/>
    <w:uiPriority w:val="0"/>
    <w:pPr>
      <w:tabs>
        <w:tab w:val="left" w:pos="750"/>
      </w:tabs>
      <w:spacing w:beforeLines="50" w:line="300" w:lineRule="auto"/>
      <w:ind w:firstLine="200" w:firstLineChars="200"/>
    </w:pPr>
    <w:rPr>
      <w:rFonts w:ascii="宋体"/>
      <w:szCs w:val="20"/>
    </w:rPr>
  </w:style>
  <w:style w:type="paragraph" w:styleId="8">
    <w:name w:val="toc 7"/>
    <w:basedOn w:val="1"/>
    <w:next w:val="1"/>
    <w:qFormat/>
    <w:uiPriority w:val="0"/>
    <w:pPr>
      <w:ind w:left="1200" w:leftChars="1200"/>
    </w:pPr>
  </w:style>
  <w:style w:type="paragraph" w:styleId="9">
    <w:name w:val="Document Map"/>
    <w:basedOn w:val="1"/>
    <w:qFormat/>
    <w:uiPriority w:val="0"/>
    <w:pPr>
      <w:shd w:val="clear" w:color="auto" w:fill="000080"/>
    </w:pPr>
  </w:style>
  <w:style w:type="paragraph" w:styleId="10">
    <w:name w:val="annotation text"/>
    <w:basedOn w:val="1"/>
    <w:link w:val="109"/>
    <w:qFormat/>
    <w:uiPriority w:val="0"/>
    <w:pPr>
      <w:jc w:val="left"/>
    </w:pPr>
    <w:rPr>
      <w:rFonts w:ascii="Calibri" w:hAnsi="Calibri"/>
    </w:rPr>
  </w:style>
  <w:style w:type="paragraph" w:styleId="11">
    <w:name w:val="Body Text"/>
    <w:basedOn w:val="1"/>
    <w:qFormat/>
    <w:uiPriority w:val="0"/>
    <w:pPr>
      <w:adjustRightInd w:val="0"/>
      <w:spacing w:line="360" w:lineRule="auto"/>
    </w:pPr>
    <w:rPr>
      <w:rFonts w:ascii="宋体"/>
      <w:bCs/>
      <w:iCs/>
      <w:color w:val="FF00FF"/>
      <w:kern w:val="44"/>
      <w:sz w:val="28"/>
      <w:szCs w:val="20"/>
    </w:rPr>
  </w:style>
  <w:style w:type="paragraph" w:styleId="12">
    <w:name w:val="Body Text Indent"/>
    <w:basedOn w:val="1"/>
    <w:qFormat/>
    <w:uiPriority w:val="0"/>
    <w:pPr>
      <w:ind w:firstLine="200" w:firstLineChars="200"/>
      <w:jc w:val="left"/>
    </w:pPr>
    <w:rPr>
      <w:rFonts w:ascii="仿宋_GB2312" w:eastAsia="仿宋_GB2312"/>
      <w:sz w:val="28"/>
    </w:rPr>
  </w:style>
  <w:style w:type="paragraph" w:styleId="13">
    <w:name w:val="toc 5"/>
    <w:basedOn w:val="1"/>
    <w:next w:val="1"/>
    <w:qFormat/>
    <w:uiPriority w:val="0"/>
    <w:pPr>
      <w:ind w:left="800" w:leftChars="800"/>
    </w:pPr>
  </w:style>
  <w:style w:type="paragraph" w:styleId="14">
    <w:name w:val="toc 3"/>
    <w:basedOn w:val="1"/>
    <w:next w:val="1"/>
    <w:qFormat/>
    <w:uiPriority w:val="39"/>
    <w:pPr>
      <w:tabs>
        <w:tab w:val="right" w:leader="dot" w:pos="9515"/>
      </w:tabs>
      <w:ind w:left="400" w:leftChars="400"/>
    </w:pPr>
  </w:style>
  <w:style w:type="paragraph" w:styleId="15">
    <w:name w:val="Plain Text"/>
    <w:basedOn w:val="1"/>
    <w:next w:val="1"/>
    <w:link w:val="93"/>
    <w:qFormat/>
    <w:uiPriority w:val="0"/>
    <w:pPr>
      <w:autoSpaceDE w:val="0"/>
      <w:autoSpaceDN w:val="0"/>
      <w:adjustRightInd w:val="0"/>
      <w:jc w:val="left"/>
    </w:pPr>
    <w:rPr>
      <w:rFonts w:ascii="宋体"/>
      <w:kern w:val="0"/>
      <w:sz w:val="20"/>
    </w:rPr>
  </w:style>
  <w:style w:type="paragraph" w:styleId="16">
    <w:name w:val="toc 8"/>
    <w:basedOn w:val="1"/>
    <w:next w:val="1"/>
    <w:qFormat/>
    <w:uiPriority w:val="0"/>
    <w:pPr>
      <w:ind w:left="1400" w:leftChars="1400"/>
    </w:pPr>
  </w:style>
  <w:style w:type="paragraph" w:styleId="17">
    <w:name w:val="Date"/>
    <w:basedOn w:val="1"/>
    <w:next w:val="1"/>
    <w:qFormat/>
    <w:uiPriority w:val="0"/>
    <w:pPr>
      <w:ind w:left="2500" w:leftChars="2500"/>
    </w:pPr>
    <w:rPr>
      <w:rFonts w:ascii="仿宋_GB2312" w:eastAsia="仿宋_GB2312"/>
      <w:sz w:val="28"/>
    </w:rPr>
  </w:style>
  <w:style w:type="paragraph" w:styleId="18">
    <w:name w:val="Body Text Indent 2"/>
    <w:basedOn w:val="1"/>
    <w:qFormat/>
    <w:uiPriority w:val="0"/>
    <w:pPr>
      <w:spacing w:line="60" w:lineRule="auto"/>
      <w:ind w:firstLine="128" w:firstLineChars="128"/>
    </w:pPr>
    <w:rPr>
      <w:rFonts w:ascii="仿宋_GB2312" w:eastAsia="仿宋_GB2312"/>
      <w:sz w:val="28"/>
    </w:rPr>
  </w:style>
  <w:style w:type="paragraph" w:styleId="19">
    <w:name w:val="Balloon Text"/>
    <w:basedOn w:val="1"/>
    <w:link w:val="127"/>
    <w:qFormat/>
    <w:uiPriority w:val="0"/>
    <w:rPr>
      <w:sz w:val="18"/>
      <w:szCs w:val="18"/>
    </w:rPr>
  </w:style>
  <w:style w:type="paragraph" w:styleId="20">
    <w:name w:val="footer"/>
    <w:basedOn w:val="1"/>
    <w:link w:val="9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21">
    <w:name w:val="header"/>
    <w:basedOn w:val="1"/>
    <w:link w:val="126"/>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22">
    <w:name w:val="toc 1"/>
    <w:basedOn w:val="1"/>
    <w:next w:val="1"/>
    <w:qFormat/>
    <w:uiPriority w:val="39"/>
  </w:style>
  <w:style w:type="paragraph" w:styleId="23">
    <w:name w:val="toc 4"/>
    <w:basedOn w:val="1"/>
    <w:next w:val="1"/>
    <w:qFormat/>
    <w:uiPriority w:val="0"/>
    <w:pPr>
      <w:ind w:left="600" w:leftChars="600"/>
    </w:pPr>
  </w:style>
  <w:style w:type="paragraph" w:styleId="24">
    <w:name w:val="toc 6"/>
    <w:basedOn w:val="1"/>
    <w:next w:val="1"/>
    <w:qFormat/>
    <w:uiPriority w:val="0"/>
    <w:pPr>
      <w:ind w:left="1000" w:leftChars="1000"/>
    </w:pPr>
  </w:style>
  <w:style w:type="paragraph" w:styleId="25">
    <w:name w:val="Body Text Indent 3"/>
    <w:basedOn w:val="1"/>
    <w:qFormat/>
    <w:uiPriority w:val="0"/>
    <w:pPr>
      <w:spacing w:line="360" w:lineRule="auto"/>
      <w:ind w:firstLine="192" w:firstLineChars="192"/>
    </w:pPr>
    <w:rPr>
      <w:rFonts w:ascii="仿宋_GB2312" w:eastAsia="仿宋_GB2312"/>
      <w:color w:val="3366FF"/>
      <w:sz w:val="24"/>
    </w:rPr>
  </w:style>
  <w:style w:type="paragraph" w:styleId="26">
    <w:name w:val="toc 2"/>
    <w:basedOn w:val="1"/>
    <w:next w:val="1"/>
    <w:qFormat/>
    <w:uiPriority w:val="39"/>
    <w:pPr>
      <w:ind w:left="60" w:firstLine="300"/>
    </w:pPr>
  </w:style>
  <w:style w:type="paragraph" w:styleId="27">
    <w:name w:val="toc 9"/>
    <w:basedOn w:val="1"/>
    <w:next w:val="1"/>
    <w:qFormat/>
    <w:uiPriority w:val="0"/>
    <w:pPr>
      <w:ind w:left="1600" w:leftChars="1600"/>
    </w:pPr>
  </w:style>
  <w:style w:type="paragraph" w:styleId="28">
    <w:name w:val="Body Text 2"/>
    <w:basedOn w:val="1"/>
    <w:qFormat/>
    <w:uiPriority w:val="0"/>
    <w:rPr>
      <w:rFonts w:ascii="宋体"/>
      <w:sz w:val="13"/>
      <w:szCs w:val="20"/>
    </w:rPr>
  </w:style>
  <w:style w:type="paragraph" w:styleId="29">
    <w:name w:val="HTML Preformatted"/>
    <w:basedOn w:val="1"/>
    <w:link w:val="1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0">
    <w:name w:val="Normal (Web)"/>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styleId="31">
    <w:name w:val="Body Text First Indent"/>
    <w:basedOn w:val="11"/>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basedOn w:val="34"/>
    <w:unhideWhenUsed/>
    <w:qFormat/>
    <w:uiPriority w:val="0"/>
    <w:rPr>
      <w:sz w:val="21"/>
      <w:szCs w:val="21"/>
    </w:rPr>
  </w:style>
  <w:style w:type="paragraph" w:customStyle="1" w:styleId="40">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41">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42">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43">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44">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45">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46">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47">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48">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49">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50">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1">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2">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3">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4">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5">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56">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57">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58">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59">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60">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61">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62">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63">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64">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65">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66">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67">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68">
    <w:name w:val="font8"/>
    <w:basedOn w:val="1"/>
    <w:qFormat/>
    <w:uiPriority w:val="0"/>
    <w:pPr>
      <w:widowControl/>
      <w:spacing w:before="100" w:beforeAutospacing="1" w:after="100" w:afterAutospacing="1"/>
      <w:jc w:val="left"/>
    </w:pPr>
    <w:rPr>
      <w:kern w:val="0"/>
      <w:sz w:val="20"/>
      <w:szCs w:val="20"/>
    </w:rPr>
  </w:style>
  <w:style w:type="paragraph" w:customStyle="1" w:styleId="69">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70">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72">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73">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74">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75">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7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77">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78">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79">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0">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1">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82">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83">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84">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85">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6">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7">
    <w:name w:val="Bullet_Title"/>
    <w:basedOn w:val="1"/>
    <w:qFormat/>
    <w:uiPriority w:val="0"/>
    <w:pPr>
      <w:numPr>
        <w:ilvl w:val="0"/>
        <w:numId w:val="3"/>
      </w:numPr>
      <w:spacing w:after="78" w:line="300" w:lineRule="auto"/>
    </w:pPr>
    <w:rPr>
      <w:rFonts w:ascii="Arial Narrow" w:hAnsi="Arial Narrow"/>
      <w:sz w:val="24"/>
      <w:szCs w:val="20"/>
    </w:rPr>
  </w:style>
  <w:style w:type="paragraph" w:customStyle="1" w:styleId="88">
    <w:name w:val="Char Char Char Char Char Char Char Char Char Char"/>
    <w:basedOn w:val="1"/>
    <w:qFormat/>
    <w:uiPriority w:val="0"/>
    <w:rPr>
      <w:rFonts w:ascii="Tahoma" w:hAnsi="Tahoma"/>
      <w:sz w:val="24"/>
      <w:szCs w:val="20"/>
    </w:rPr>
  </w:style>
  <w:style w:type="character" w:customStyle="1" w:styleId="89">
    <w:name w:val="grame"/>
    <w:basedOn w:val="34"/>
    <w:qFormat/>
    <w:uiPriority w:val="0"/>
  </w:style>
  <w:style w:type="paragraph" w:customStyle="1" w:styleId="90">
    <w:name w:val="xl23"/>
    <w:next w:val="45"/>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character" w:customStyle="1" w:styleId="91">
    <w:name w:val="页脚 字符"/>
    <w:link w:val="20"/>
    <w:qFormat/>
    <w:uiPriority w:val="0"/>
    <w:rPr>
      <w:sz w:val="18"/>
    </w:rPr>
  </w:style>
  <w:style w:type="paragraph" w:customStyle="1" w:styleId="92">
    <w:name w:val="Char"/>
    <w:basedOn w:val="1"/>
    <w:qFormat/>
    <w:uiPriority w:val="0"/>
  </w:style>
  <w:style w:type="character" w:customStyle="1" w:styleId="93">
    <w:name w:val="纯文本 字符"/>
    <w:link w:val="15"/>
    <w:qFormat/>
    <w:uiPriority w:val="0"/>
    <w:rPr>
      <w:rFonts w:ascii="宋体" w:eastAsia="宋体"/>
      <w:szCs w:val="24"/>
      <w:lang w:val="en-US" w:eastAsia="zh-CN" w:bidi="ar-SA"/>
    </w:rPr>
  </w:style>
  <w:style w:type="paragraph" w:customStyle="1" w:styleId="94">
    <w:name w:val="TOC 标题1"/>
    <w:basedOn w:val="3"/>
    <w:next w:val="1"/>
    <w:qFormat/>
    <w:uiPriority w:val="39"/>
    <w:pPr>
      <w:keepLines/>
      <w:widowControl/>
      <w:numPr>
        <w:numId w:val="0"/>
      </w:numPr>
      <w:autoSpaceDE/>
      <w:autoSpaceDN/>
      <w:adjustRightInd/>
      <w:spacing w:before="480" w:line="276" w:lineRule="auto"/>
      <w:outlineLvl w:val="9"/>
    </w:pPr>
    <w:rPr>
      <w:rFonts w:ascii="Cambria" w:hAnsi="Cambria" w:eastAsia="宋体"/>
      <w:color w:val="365F91"/>
      <w:szCs w:val="28"/>
    </w:rPr>
  </w:style>
  <w:style w:type="paragraph" w:customStyle="1" w:styleId="95">
    <w:name w:val="采购申报表正文"/>
    <w:basedOn w:val="1"/>
    <w:qFormat/>
    <w:uiPriority w:val="0"/>
    <w:rPr>
      <w:rFonts w:ascii="仿宋_GB2312" w:eastAsia="仿宋_GB2312"/>
      <w:szCs w:val="28"/>
    </w:rPr>
  </w:style>
  <w:style w:type="paragraph" w:customStyle="1" w:styleId="96">
    <w:name w:val="采购申报表备注"/>
    <w:basedOn w:val="1"/>
    <w:qFormat/>
    <w:uiPriority w:val="0"/>
    <w:pPr>
      <w:tabs>
        <w:tab w:val="left" w:pos="2634"/>
      </w:tabs>
    </w:pPr>
    <w:rPr>
      <w:rFonts w:ascii="仿宋_GB2312" w:eastAsia="仿宋_GB2312"/>
    </w:rPr>
  </w:style>
  <w:style w:type="paragraph" w:customStyle="1" w:styleId="97">
    <w:name w:val="List Paragraph"/>
    <w:basedOn w:val="1"/>
    <w:link w:val="102"/>
    <w:qFormat/>
    <w:uiPriority w:val="34"/>
    <w:pPr>
      <w:ind w:firstLine="420" w:firstLineChars="200"/>
    </w:pPr>
    <w:rPr>
      <w:rFonts w:ascii="Calibri" w:hAnsi="Calibri"/>
      <w:szCs w:val="22"/>
    </w:rPr>
  </w:style>
  <w:style w:type="character" w:customStyle="1" w:styleId="98">
    <w:name w:val="apple-converted-space"/>
    <w:basedOn w:val="34"/>
    <w:qFormat/>
    <w:uiPriority w:val="0"/>
  </w:style>
  <w:style w:type="paragraph" w:customStyle="1" w:styleId="9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 2 字符"/>
    <w:link w:val="4"/>
    <w:qFormat/>
    <w:uiPriority w:val="0"/>
    <w:rPr>
      <w:rFonts w:ascii="Arial" w:hAnsi="Arial"/>
      <w:b/>
      <w:bCs/>
      <w:kern w:val="2"/>
      <w:sz w:val="28"/>
      <w:szCs w:val="32"/>
    </w:rPr>
  </w:style>
  <w:style w:type="character" w:customStyle="1" w:styleId="102">
    <w:name w:val="列表段落 字符"/>
    <w:link w:val="97"/>
    <w:qFormat/>
    <w:uiPriority w:val="34"/>
    <w:rPr>
      <w:rFonts w:ascii="Calibri" w:hAnsi="Calibri"/>
      <w:kern w:val="2"/>
      <w:sz w:val="21"/>
      <w:szCs w:val="22"/>
    </w:rPr>
  </w:style>
  <w:style w:type="character" w:customStyle="1" w:styleId="103">
    <w:name w:val="标题 1 字符"/>
    <w:link w:val="3"/>
    <w:qFormat/>
    <w:uiPriority w:val="0"/>
    <w:rPr>
      <w:rFonts w:ascii="仿宋_GB2312" w:eastAsia="仿宋_GB2312"/>
      <w:b/>
      <w:bCs/>
      <w:color w:val="000000"/>
      <w:sz w:val="28"/>
    </w:rPr>
  </w:style>
  <w:style w:type="character" w:customStyle="1" w:styleId="104">
    <w:name w:val="纯文本 Char2"/>
    <w:qFormat/>
    <w:uiPriority w:val="0"/>
    <w:rPr>
      <w:rFonts w:ascii="宋体" w:eastAsia="宋体"/>
      <w:szCs w:val="24"/>
      <w:lang w:val="en-US" w:eastAsia="zh-CN" w:bidi="ar-SA"/>
    </w:rPr>
  </w:style>
  <w:style w:type="character" w:customStyle="1" w:styleId="105">
    <w:name w:val="正文缩进 字符"/>
    <w:link w:val="2"/>
    <w:qFormat/>
    <w:uiPriority w:val="0"/>
    <w:rPr>
      <w:rFonts w:ascii="宋体"/>
      <w:kern w:val="2"/>
      <w:sz w:val="21"/>
    </w:rPr>
  </w:style>
  <w:style w:type="paragraph" w:customStyle="1" w:styleId="106">
    <w:name w:val="列出段落1"/>
    <w:basedOn w:val="1"/>
    <w:unhideWhenUsed/>
    <w:qFormat/>
    <w:uiPriority w:val="99"/>
    <w:pPr>
      <w:ind w:firstLine="420" w:firstLineChars="200"/>
    </w:pPr>
  </w:style>
  <w:style w:type="paragraph" w:customStyle="1" w:styleId="107">
    <w:name w:val="p2"/>
    <w:basedOn w:val="1"/>
    <w:qFormat/>
    <w:uiPriority w:val="0"/>
    <w:pPr>
      <w:widowControl/>
      <w:spacing w:line="480" w:lineRule="auto"/>
      <w:ind w:firstLine="420"/>
      <w:jc w:val="left"/>
    </w:pPr>
    <w:rPr>
      <w:rFonts w:ascii="宋体" w:hAnsi="宋体" w:cs="宋体"/>
      <w:kern w:val="0"/>
      <w:szCs w:val="21"/>
    </w:rPr>
  </w:style>
  <w:style w:type="character" w:customStyle="1" w:styleId="108">
    <w:name w:val="font41"/>
    <w:qFormat/>
    <w:uiPriority w:val="0"/>
    <w:rPr>
      <w:rFonts w:hint="eastAsia" w:ascii="宋体" w:hAnsi="宋体" w:eastAsia="宋体" w:cs="宋体"/>
      <w:color w:val="000000"/>
      <w:sz w:val="20"/>
      <w:szCs w:val="20"/>
      <w:u w:val="none"/>
    </w:rPr>
  </w:style>
  <w:style w:type="character" w:customStyle="1" w:styleId="109">
    <w:name w:val="批注文字 字符"/>
    <w:basedOn w:val="34"/>
    <w:link w:val="10"/>
    <w:qFormat/>
    <w:uiPriority w:val="99"/>
    <w:rPr>
      <w:rFonts w:ascii="Calibri" w:hAnsi="Calibri"/>
      <w:kern w:val="2"/>
      <w:sz w:val="21"/>
      <w:szCs w:val="24"/>
    </w:rPr>
  </w:style>
  <w:style w:type="character" w:customStyle="1" w:styleId="110">
    <w:name w:val="批注文字 Char1"/>
    <w:basedOn w:val="34"/>
    <w:qFormat/>
    <w:uiPriority w:val="0"/>
    <w:rPr>
      <w:kern w:val="2"/>
      <w:sz w:val="21"/>
      <w:szCs w:val="24"/>
    </w:rPr>
  </w:style>
  <w:style w:type="character" w:customStyle="1" w:styleId="111">
    <w:name w:val="纯文本 Char1"/>
    <w:basedOn w:val="34"/>
    <w:qFormat/>
    <w:uiPriority w:val="0"/>
    <w:rPr>
      <w:rFonts w:ascii="宋体" w:eastAsia="宋体"/>
      <w:szCs w:val="24"/>
      <w:lang w:val="en-US" w:eastAsia="zh-CN" w:bidi="ar-SA"/>
    </w:rPr>
  </w:style>
  <w:style w:type="character" w:customStyle="1" w:styleId="112">
    <w:name w:val="List Paragraph Char Char"/>
    <w:link w:val="113"/>
    <w:qFormat/>
    <w:uiPriority w:val="0"/>
    <w:rPr>
      <w:rFonts w:ascii="Calibri" w:hAnsi="Calibri"/>
      <w:kern w:val="2"/>
      <w:sz w:val="22"/>
    </w:rPr>
  </w:style>
  <w:style w:type="paragraph" w:customStyle="1" w:styleId="113">
    <w:name w:val="List Paragraph Char"/>
    <w:basedOn w:val="1"/>
    <w:link w:val="112"/>
    <w:qFormat/>
    <w:uiPriority w:val="0"/>
    <w:pPr>
      <w:spacing w:line="360" w:lineRule="auto"/>
      <w:ind w:firstLine="420" w:firstLineChars="200"/>
    </w:pPr>
    <w:rPr>
      <w:rFonts w:ascii="Calibri" w:hAnsi="Calibri"/>
      <w:sz w:val="22"/>
      <w:szCs w:val="20"/>
    </w:rPr>
  </w:style>
  <w:style w:type="character" w:customStyle="1" w:styleId="114">
    <w:name w:val="标题 4 字符"/>
    <w:basedOn w:val="34"/>
    <w:link w:val="6"/>
    <w:qFormat/>
    <w:uiPriority w:val="0"/>
    <w:rPr>
      <w:rFonts w:asciiTheme="majorHAnsi" w:hAnsiTheme="majorHAnsi" w:eastAsiaTheme="majorEastAsia" w:cstheme="majorBidi"/>
      <w:b/>
      <w:bCs/>
      <w:kern w:val="2"/>
      <w:sz w:val="28"/>
      <w:szCs w:val="28"/>
    </w:rPr>
  </w:style>
  <w:style w:type="paragraph" w:customStyle="1" w:styleId="115">
    <w:name w:val="列出段落2"/>
    <w:basedOn w:val="1"/>
    <w:qFormat/>
    <w:uiPriority w:val="99"/>
    <w:pPr>
      <w:widowControl/>
      <w:ind w:firstLine="420" w:firstLineChars="200"/>
      <w:jc w:val="left"/>
    </w:pPr>
    <w:rPr>
      <w:kern w:val="0"/>
      <w:sz w:val="20"/>
      <w:szCs w:val="20"/>
    </w:rPr>
  </w:style>
  <w:style w:type="paragraph" w:customStyle="1" w:styleId="116">
    <w:name w:val="纯文本 New New"/>
    <w:basedOn w:val="1"/>
    <w:next w:val="1"/>
    <w:qFormat/>
    <w:uiPriority w:val="0"/>
    <w:pPr>
      <w:autoSpaceDE w:val="0"/>
      <w:autoSpaceDN w:val="0"/>
      <w:adjustRightInd w:val="0"/>
      <w:jc w:val="left"/>
    </w:pPr>
    <w:rPr>
      <w:rFonts w:ascii="宋体"/>
    </w:rPr>
  </w:style>
  <w:style w:type="character" w:customStyle="1" w:styleId="117">
    <w:name w:val="HTML 预设格式 Char"/>
    <w:qFormat/>
    <w:uiPriority w:val="99"/>
    <w:rPr>
      <w:rFonts w:ascii="宋体" w:hAnsi="宋体" w:cs="宋体"/>
      <w:sz w:val="24"/>
      <w:szCs w:val="24"/>
    </w:rPr>
  </w:style>
  <w:style w:type="character" w:customStyle="1" w:styleId="118">
    <w:name w:val="HTML 预设格式 字符"/>
    <w:basedOn w:val="34"/>
    <w:link w:val="29"/>
    <w:semiHidden/>
    <w:qFormat/>
    <w:uiPriority w:val="0"/>
    <w:rPr>
      <w:rFonts w:ascii="Courier New" w:hAnsi="Courier New" w:cs="Courier New"/>
      <w:kern w:val="2"/>
    </w:rPr>
  </w:style>
  <w:style w:type="character" w:customStyle="1" w:styleId="119">
    <w:name w:val="Char1 Char Char Char"/>
    <w:link w:val="120"/>
    <w:qFormat/>
    <w:uiPriority w:val="0"/>
    <w:rPr>
      <w:rFonts w:eastAsia="微软雅黑"/>
      <w:kern w:val="2"/>
      <w:sz w:val="24"/>
      <w:szCs w:val="24"/>
    </w:rPr>
  </w:style>
  <w:style w:type="paragraph" w:customStyle="1" w:styleId="120">
    <w:name w:val="Char1"/>
    <w:basedOn w:val="1"/>
    <w:next w:val="1"/>
    <w:link w:val="119"/>
    <w:qFormat/>
    <w:uiPriority w:val="0"/>
    <w:pPr>
      <w:tabs>
        <w:tab w:val="left" w:pos="425"/>
        <w:tab w:val="left" w:pos="981"/>
      </w:tabs>
      <w:spacing w:line="360" w:lineRule="auto"/>
      <w:ind w:firstLine="420"/>
      <w:jc w:val="left"/>
    </w:pPr>
    <w:rPr>
      <w:rFonts w:eastAsia="微软雅黑"/>
      <w:sz w:val="24"/>
    </w:rPr>
  </w:style>
  <w:style w:type="paragraph" w:customStyle="1" w:styleId="121">
    <w:name w:val="WPSOffice手动目录 1"/>
    <w:qFormat/>
    <w:uiPriority w:val="0"/>
    <w:rPr>
      <w:rFonts w:ascii="Times New Roman" w:hAnsi="Times New Roman" w:eastAsia="宋体" w:cs="Times New Roman"/>
      <w:lang w:val="en-US" w:eastAsia="zh-CN" w:bidi="ar-SA"/>
    </w:rPr>
  </w:style>
  <w:style w:type="paragraph" w:customStyle="1" w:styleId="1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24">
    <w:name w:val="目录文字"/>
    <w:basedOn w:val="1"/>
    <w:qFormat/>
    <w:uiPriority w:val="0"/>
    <w:pPr>
      <w:widowControl/>
      <w:spacing w:line="480" w:lineRule="auto"/>
      <w:jc w:val="left"/>
    </w:pPr>
    <w:rPr>
      <w:rFonts w:ascii="宋体" w:hAnsi="宋体"/>
      <w:kern w:val="0"/>
      <w:sz w:val="24"/>
      <w:szCs w:val="20"/>
    </w:rPr>
  </w:style>
  <w:style w:type="character" w:customStyle="1" w:styleId="125">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126">
    <w:name w:val="页眉 字符"/>
    <w:link w:val="21"/>
    <w:qFormat/>
    <w:uiPriority w:val="0"/>
    <w:rPr>
      <w:rFonts w:cs="Times New Roman"/>
      <w:sz w:val="18"/>
    </w:rPr>
  </w:style>
  <w:style w:type="character" w:customStyle="1" w:styleId="127">
    <w:name w:val="批注框文本 字符"/>
    <w:link w:val="19"/>
    <w:qFormat/>
    <w:uiPriority w:val="0"/>
    <w:rPr>
      <w:rFonts w:cs="Times New Roman"/>
      <w:kern w:val="2"/>
      <w:sz w:val="18"/>
      <w:szCs w:val="18"/>
    </w:rPr>
  </w:style>
  <w:style w:type="table" w:customStyle="1" w:styleId="128">
    <w:name w:val="网格型1"/>
    <w:basedOn w:val="3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0">
    <w:name w:val="Unresolved Mention"/>
    <w:basedOn w:val="34"/>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0AC00-FFF8-4769-974D-2E94638BFAD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68</Pages>
  <Words>32638</Words>
  <Characters>9077</Characters>
  <Lines>75</Lines>
  <Paragraphs>83</Paragraphs>
  <TotalTime>0</TotalTime>
  <ScaleCrop>false</ScaleCrop>
  <LinksUpToDate>false</LinksUpToDate>
  <CharactersWithSpaces>41632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2021-03-30T07:57:00Z</dcterms:created>
  <dc:creator>z</dc:creator>
  <cp:lastModifiedBy>棉花布丁</cp:lastModifiedBy>
  <cp:lastPrinted>2020-11-30T09:08:00Z</cp:lastPrinted>
  <dcterms:modified xsi:type="dcterms:W3CDTF">2021-08-30T08:01:42Z</dcterms:modified>
  <dc:title>询价书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53B168AED17B4EA0ACCF82D90F183C5B</vt:lpwstr>
  </property>
</Properties>
</file>